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D" w:rsidRDefault="008F666D" w:rsidP="002C22B9">
      <w:pPr>
        <w:jc w:val="center"/>
        <w:rPr>
          <w:sz w:val="20"/>
        </w:rPr>
      </w:pPr>
      <w:bookmarkStart w:id="0" w:name="_GoBack"/>
      <w:bookmarkEnd w:id="0"/>
    </w:p>
    <w:p w:rsidR="008F666D" w:rsidRDefault="008F666D" w:rsidP="002C22B9">
      <w:pPr>
        <w:jc w:val="center"/>
        <w:rPr>
          <w:sz w:val="20"/>
        </w:rPr>
      </w:pPr>
      <w:r w:rsidRPr="00914649">
        <w:rPr>
          <w:sz w:val="20"/>
        </w:rPr>
        <w:t>Rīgā</w:t>
      </w:r>
    </w:p>
    <w:p w:rsidR="008F666D" w:rsidRDefault="008F666D" w:rsidP="007F3771">
      <w:pPr>
        <w:rPr>
          <w:spacing w:val="4"/>
          <w:sz w:val="20"/>
        </w:rPr>
      </w:pPr>
    </w:p>
    <w:tbl>
      <w:tblPr>
        <w:tblW w:w="0" w:type="auto"/>
        <w:tblLook w:val="0000"/>
      </w:tblPr>
      <w:tblGrid>
        <w:gridCol w:w="450"/>
        <w:gridCol w:w="1785"/>
        <w:gridCol w:w="708"/>
        <w:gridCol w:w="1701"/>
        <w:gridCol w:w="1026"/>
      </w:tblGrid>
      <w:tr w:rsidR="008F666D" w:rsidRPr="00615936" w:rsidTr="009F77B9">
        <w:tc>
          <w:tcPr>
            <w:tcW w:w="450" w:type="dxa"/>
            <w:tcBorders>
              <w:top w:val="nil"/>
              <w:left w:val="nil"/>
              <w:bottom w:val="nil"/>
              <w:right w:val="nil"/>
            </w:tcBorders>
          </w:tcPr>
          <w:p w:rsidR="008F666D" w:rsidRPr="00615936" w:rsidRDefault="008F666D"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8F666D" w:rsidRPr="00615936" w:rsidRDefault="00DF6A1C" w:rsidP="002C22B9">
            <w:pPr>
              <w:tabs>
                <w:tab w:val="left" w:pos="3960"/>
              </w:tabs>
              <w:rPr>
                <w:szCs w:val="24"/>
              </w:rPr>
            </w:pPr>
            <w:r w:rsidRPr="00615936">
              <w:rPr>
                <w:szCs w:val="24"/>
              </w:rPr>
              <w:fldChar w:fldCharType="begin">
                <w:ffData>
                  <w:name w:val="reg_dat"/>
                  <w:enabled/>
                  <w:calcOnExit w:val="0"/>
                  <w:textInput>
                    <w:default w:val="                      "/>
                  </w:textInput>
                </w:ffData>
              </w:fldChar>
            </w:r>
            <w:r w:rsidR="008F666D" w:rsidRPr="00615936">
              <w:rPr>
                <w:szCs w:val="24"/>
              </w:rPr>
              <w:instrText xml:space="preserve"> FORMTEXT </w:instrText>
            </w:r>
            <w:r w:rsidRPr="00615936">
              <w:rPr>
                <w:szCs w:val="24"/>
              </w:rPr>
            </w:r>
            <w:r w:rsidRPr="00615936">
              <w:rPr>
                <w:szCs w:val="24"/>
              </w:rPr>
              <w:fldChar w:fldCharType="separate"/>
            </w:r>
            <w:r w:rsidR="008F666D">
              <w:rPr>
                <w:szCs w:val="24"/>
              </w:rPr>
              <w:t>15.01.2018</w:t>
            </w:r>
            <w:r w:rsidRPr="00615936">
              <w:rPr>
                <w:szCs w:val="24"/>
              </w:rPr>
              <w:fldChar w:fldCharType="end"/>
            </w:r>
            <w:bookmarkEnd w:id="1"/>
          </w:p>
        </w:tc>
        <w:tc>
          <w:tcPr>
            <w:tcW w:w="708" w:type="dxa"/>
            <w:tcBorders>
              <w:top w:val="nil"/>
              <w:left w:val="nil"/>
              <w:bottom w:val="nil"/>
              <w:right w:val="nil"/>
            </w:tcBorders>
          </w:tcPr>
          <w:p w:rsidR="008F666D" w:rsidRPr="00615936" w:rsidRDefault="008F666D" w:rsidP="002C22B9">
            <w:pPr>
              <w:tabs>
                <w:tab w:val="left" w:pos="360"/>
                <w:tab w:val="left" w:pos="3960"/>
              </w:tabs>
              <w:jc w:val="center"/>
              <w:rPr>
                <w:sz w:val="20"/>
              </w:rPr>
            </w:pPr>
            <w:r w:rsidRPr="00615936">
              <w:rPr>
                <w:sz w:val="20"/>
              </w:rPr>
              <w:t>Nr.</w:t>
            </w:r>
          </w:p>
        </w:tc>
        <w:bookmarkStart w:id="2" w:name="lietas_nr"/>
        <w:tc>
          <w:tcPr>
            <w:tcW w:w="2727" w:type="dxa"/>
            <w:gridSpan w:val="2"/>
            <w:tcBorders>
              <w:top w:val="nil"/>
              <w:left w:val="nil"/>
              <w:bottom w:val="single" w:sz="4" w:space="0" w:color="auto"/>
              <w:right w:val="nil"/>
            </w:tcBorders>
          </w:tcPr>
          <w:p w:rsidR="008F666D" w:rsidRPr="00615936" w:rsidRDefault="00DF6A1C"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008F666D" w:rsidRPr="00615936">
              <w:rPr>
                <w:szCs w:val="24"/>
              </w:rPr>
              <w:instrText xml:space="preserve"> FORMTEXT </w:instrText>
            </w:r>
            <w:r w:rsidRPr="00615936">
              <w:rPr>
                <w:szCs w:val="24"/>
              </w:rPr>
            </w:r>
            <w:r w:rsidRPr="00615936">
              <w:rPr>
                <w:szCs w:val="24"/>
              </w:rPr>
              <w:fldChar w:fldCharType="separate"/>
            </w:r>
            <w:r w:rsidR="008F666D">
              <w:rPr>
                <w:szCs w:val="24"/>
              </w:rPr>
              <w:t>27-04/</w:t>
            </w:r>
            <w:r w:rsidRPr="00615936">
              <w:rPr>
                <w:szCs w:val="24"/>
              </w:rPr>
              <w:fldChar w:fldCharType="end"/>
            </w:r>
            <w:bookmarkEnd w:id="2"/>
            <w:r w:rsidR="008F666D" w:rsidRPr="00615936">
              <w:rPr>
                <w:szCs w:val="24"/>
              </w:rPr>
              <w:t>/</w:t>
            </w:r>
            <w:bookmarkStart w:id="3" w:name="reg_num"/>
            <w:r w:rsidRPr="00615936">
              <w:rPr>
                <w:szCs w:val="24"/>
              </w:rPr>
              <w:fldChar w:fldCharType="begin">
                <w:ffData>
                  <w:name w:val="reg_num"/>
                  <w:enabled/>
                  <w:calcOnExit w:val="0"/>
                  <w:textInput>
                    <w:default w:val="            "/>
                  </w:textInput>
                </w:ffData>
              </w:fldChar>
            </w:r>
            <w:r w:rsidR="008F666D" w:rsidRPr="00615936">
              <w:rPr>
                <w:szCs w:val="24"/>
              </w:rPr>
              <w:instrText xml:space="preserve"> FORMTEXT </w:instrText>
            </w:r>
            <w:r w:rsidRPr="00615936">
              <w:rPr>
                <w:szCs w:val="24"/>
              </w:rPr>
            </w:r>
            <w:r w:rsidRPr="00615936">
              <w:rPr>
                <w:szCs w:val="24"/>
              </w:rPr>
              <w:fldChar w:fldCharType="separate"/>
            </w:r>
            <w:r w:rsidR="008F666D">
              <w:rPr>
                <w:szCs w:val="24"/>
              </w:rPr>
              <w:t>254</w:t>
            </w:r>
            <w:r w:rsidRPr="00615936">
              <w:rPr>
                <w:szCs w:val="24"/>
              </w:rPr>
              <w:fldChar w:fldCharType="end"/>
            </w:r>
            <w:bookmarkEnd w:id="3"/>
          </w:p>
        </w:tc>
      </w:tr>
      <w:tr w:rsidR="008F666D" w:rsidRPr="00615936" w:rsidTr="009F77B9">
        <w:trPr>
          <w:trHeight w:val="188"/>
        </w:trPr>
        <w:tc>
          <w:tcPr>
            <w:tcW w:w="450" w:type="dxa"/>
            <w:tcBorders>
              <w:top w:val="nil"/>
              <w:left w:val="nil"/>
              <w:bottom w:val="nil"/>
              <w:right w:val="nil"/>
            </w:tcBorders>
          </w:tcPr>
          <w:p w:rsidR="008F666D" w:rsidRPr="00615936" w:rsidRDefault="008F666D" w:rsidP="002C22B9">
            <w:pPr>
              <w:tabs>
                <w:tab w:val="left" w:pos="360"/>
                <w:tab w:val="left" w:pos="3960"/>
              </w:tabs>
              <w:rPr>
                <w:sz w:val="20"/>
              </w:rPr>
            </w:pPr>
          </w:p>
        </w:tc>
        <w:tc>
          <w:tcPr>
            <w:tcW w:w="1785" w:type="dxa"/>
            <w:tcBorders>
              <w:top w:val="single" w:sz="4" w:space="0" w:color="auto"/>
              <w:left w:val="nil"/>
              <w:bottom w:val="nil"/>
              <w:right w:val="nil"/>
            </w:tcBorders>
          </w:tcPr>
          <w:p w:rsidR="008F666D" w:rsidRPr="00615936" w:rsidRDefault="008F666D" w:rsidP="002C22B9">
            <w:pPr>
              <w:tabs>
                <w:tab w:val="left" w:pos="360"/>
                <w:tab w:val="left" w:pos="3960"/>
              </w:tabs>
              <w:rPr>
                <w:sz w:val="20"/>
              </w:rPr>
            </w:pPr>
          </w:p>
        </w:tc>
        <w:tc>
          <w:tcPr>
            <w:tcW w:w="708" w:type="dxa"/>
            <w:tcBorders>
              <w:top w:val="nil"/>
              <w:left w:val="nil"/>
              <w:bottom w:val="nil"/>
              <w:right w:val="nil"/>
            </w:tcBorders>
          </w:tcPr>
          <w:p w:rsidR="008F666D" w:rsidRPr="00615936" w:rsidRDefault="008F666D" w:rsidP="002C22B9">
            <w:pPr>
              <w:tabs>
                <w:tab w:val="left" w:pos="360"/>
                <w:tab w:val="left" w:pos="3960"/>
              </w:tabs>
              <w:jc w:val="center"/>
              <w:rPr>
                <w:sz w:val="20"/>
              </w:rPr>
            </w:pPr>
          </w:p>
        </w:tc>
        <w:tc>
          <w:tcPr>
            <w:tcW w:w="2727" w:type="dxa"/>
            <w:gridSpan w:val="2"/>
            <w:tcBorders>
              <w:top w:val="single" w:sz="4" w:space="0" w:color="auto"/>
              <w:left w:val="nil"/>
              <w:bottom w:val="nil"/>
              <w:right w:val="nil"/>
            </w:tcBorders>
          </w:tcPr>
          <w:p w:rsidR="008F666D" w:rsidRPr="00615936" w:rsidRDefault="008F666D" w:rsidP="002C22B9">
            <w:pPr>
              <w:tabs>
                <w:tab w:val="left" w:pos="360"/>
                <w:tab w:val="left" w:pos="3960"/>
              </w:tabs>
              <w:rPr>
                <w:sz w:val="20"/>
              </w:rPr>
            </w:pPr>
          </w:p>
        </w:tc>
      </w:tr>
      <w:tr w:rsidR="008F666D" w:rsidRPr="00615936" w:rsidTr="009F77B9">
        <w:tc>
          <w:tcPr>
            <w:tcW w:w="450" w:type="dxa"/>
            <w:tcBorders>
              <w:top w:val="nil"/>
              <w:left w:val="nil"/>
              <w:bottom w:val="nil"/>
              <w:right w:val="nil"/>
            </w:tcBorders>
          </w:tcPr>
          <w:p w:rsidR="008F666D" w:rsidRPr="00615936" w:rsidRDefault="008F666D" w:rsidP="002C22B9">
            <w:pPr>
              <w:tabs>
                <w:tab w:val="left" w:pos="360"/>
                <w:tab w:val="left" w:pos="3960"/>
              </w:tabs>
              <w:rPr>
                <w:sz w:val="20"/>
              </w:rPr>
            </w:pPr>
            <w:r w:rsidRPr="00615936">
              <w:rPr>
                <w:sz w:val="20"/>
              </w:rPr>
              <w:t>Uz</w:t>
            </w:r>
          </w:p>
        </w:tc>
        <w:bookmarkStart w:id="4" w:name="san_dat"/>
        <w:tc>
          <w:tcPr>
            <w:tcW w:w="1785" w:type="dxa"/>
            <w:tcBorders>
              <w:top w:val="nil"/>
              <w:left w:val="nil"/>
              <w:bottom w:val="single" w:sz="4" w:space="0" w:color="auto"/>
              <w:right w:val="nil"/>
            </w:tcBorders>
          </w:tcPr>
          <w:p w:rsidR="008F666D" w:rsidRPr="00615936" w:rsidRDefault="00DF6A1C"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008F666D" w:rsidRPr="00615936">
              <w:rPr>
                <w:szCs w:val="24"/>
              </w:rPr>
              <w:instrText xml:space="preserve"> FORMTEXT </w:instrText>
            </w:r>
            <w:r w:rsidRPr="00615936">
              <w:rPr>
                <w:szCs w:val="24"/>
              </w:rPr>
            </w:r>
            <w:r w:rsidRPr="00615936">
              <w:rPr>
                <w:szCs w:val="24"/>
              </w:rPr>
              <w:fldChar w:fldCharType="separate"/>
            </w:r>
            <w:r w:rsidR="008F666D">
              <w:rPr>
                <w:szCs w:val="24"/>
              </w:rPr>
              <w:t>14.12.2017</w:t>
            </w:r>
            <w:r w:rsidRPr="00615936">
              <w:rPr>
                <w:szCs w:val="24"/>
              </w:rPr>
              <w:fldChar w:fldCharType="end"/>
            </w:r>
            <w:bookmarkEnd w:id="4"/>
          </w:p>
        </w:tc>
        <w:tc>
          <w:tcPr>
            <w:tcW w:w="708" w:type="dxa"/>
            <w:tcBorders>
              <w:top w:val="nil"/>
              <w:left w:val="nil"/>
              <w:bottom w:val="nil"/>
              <w:right w:val="nil"/>
            </w:tcBorders>
          </w:tcPr>
          <w:p w:rsidR="008F666D" w:rsidRPr="00615936" w:rsidRDefault="008F666D" w:rsidP="002C22B9">
            <w:pPr>
              <w:tabs>
                <w:tab w:val="left" w:pos="360"/>
                <w:tab w:val="left" w:pos="3960"/>
              </w:tabs>
              <w:jc w:val="center"/>
              <w:rPr>
                <w:sz w:val="20"/>
              </w:rPr>
            </w:pPr>
            <w:r w:rsidRPr="00615936">
              <w:rPr>
                <w:sz w:val="20"/>
              </w:rPr>
              <w:t>Nr.</w:t>
            </w:r>
          </w:p>
        </w:tc>
        <w:bookmarkStart w:id="5" w:name="san_num"/>
        <w:tc>
          <w:tcPr>
            <w:tcW w:w="2727" w:type="dxa"/>
            <w:gridSpan w:val="2"/>
            <w:tcBorders>
              <w:top w:val="nil"/>
              <w:left w:val="nil"/>
              <w:bottom w:val="single" w:sz="4" w:space="0" w:color="auto"/>
              <w:right w:val="nil"/>
            </w:tcBorders>
          </w:tcPr>
          <w:p w:rsidR="008F666D" w:rsidRPr="00615936" w:rsidRDefault="00DF6A1C"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008F666D" w:rsidRPr="00615936">
              <w:rPr>
                <w:szCs w:val="24"/>
              </w:rPr>
              <w:instrText xml:space="preserve"> FORMTEXT </w:instrText>
            </w:r>
            <w:r w:rsidRPr="00615936">
              <w:rPr>
                <w:szCs w:val="24"/>
              </w:rPr>
            </w:r>
            <w:r w:rsidRPr="00615936">
              <w:rPr>
                <w:szCs w:val="24"/>
              </w:rPr>
              <w:fldChar w:fldCharType="separate"/>
            </w:r>
            <w:r w:rsidR="008F666D">
              <w:rPr>
                <w:szCs w:val="24"/>
              </w:rPr>
              <w:t>b/n</w:t>
            </w:r>
            <w:r w:rsidRPr="00615936">
              <w:rPr>
                <w:szCs w:val="24"/>
              </w:rPr>
              <w:fldChar w:fldCharType="end"/>
            </w:r>
            <w:bookmarkEnd w:id="5"/>
          </w:p>
        </w:tc>
      </w:tr>
      <w:tr w:rsidR="008F666D" w:rsidTr="00043FDD">
        <w:tblPrEx>
          <w:jc w:val="right"/>
          <w:tblLook w:val="00A0"/>
        </w:tblPrEx>
        <w:trPr>
          <w:gridAfter w:val="1"/>
          <w:wAfter w:w="1026" w:type="dxa"/>
          <w:jc w:val="right"/>
        </w:trPr>
        <w:tc>
          <w:tcPr>
            <w:tcW w:w="4644" w:type="dxa"/>
            <w:gridSpan w:val="4"/>
          </w:tcPr>
          <w:p w:rsidR="008F666D" w:rsidRPr="00043FDD" w:rsidRDefault="008F666D" w:rsidP="00043FDD">
            <w:pPr>
              <w:jc w:val="right"/>
              <w:rPr>
                <w:b/>
                <w:bCs/>
                <w:szCs w:val="24"/>
                <w:lang w:eastAsia="lv-LV"/>
              </w:rPr>
            </w:pPr>
            <w:bookmarkStart w:id="6" w:name="org_nos"/>
          </w:p>
          <w:p w:rsidR="008F666D" w:rsidRPr="00043FDD" w:rsidRDefault="008F666D" w:rsidP="00043FDD">
            <w:pPr>
              <w:jc w:val="right"/>
              <w:rPr>
                <w:b/>
                <w:bCs/>
                <w:szCs w:val="24"/>
                <w:lang w:eastAsia="lv-LV"/>
              </w:rPr>
            </w:pPr>
          </w:p>
          <w:p w:rsidR="008F666D" w:rsidRPr="00043FDD" w:rsidRDefault="008F666D" w:rsidP="00043FDD">
            <w:pPr>
              <w:jc w:val="right"/>
              <w:rPr>
                <w:b/>
                <w:bCs/>
                <w:szCs w:val="24"/>
                <w:lang w:eastAsia="lv-LV"/>
              </w:rPr>
            </w:pPr>
            <w:r w:rsidRPr="00043FDD">
              <w:rPr>
                <w:b/>
                <w:bCs/>
                <w:szCs w:val="24"/>
                <w:lang w:eastAsia="lv-LV"/>
              </w:rPr>
              <w:t>Latvijas Lauku Tūrisma Asociācijai</w:t>
            </w:r>
          </w:p>
          <w:p w:rsidR="008F666D" w:rsidRPr="00043FDD" w:rsidRDefault="008F666D" w:rsidP="00043FDD">
            <w:pPr>
              <w:jc w:val="right"/>
              <w:rPr>
                <w:b/>
                <w:bCs/>
                <w:szCs w:val="24"/>
                <w:lang w:eastAsia="lv-LV"/>
              </w:rPr>
            </w:pPr>
          </w:p>
        </w:tc>
      </w:tr>
      <w:bookmarkEnd w:id="6"/>
    </w:tbl>
    <w:p w:rsidR="008F666D" w:rsidRPr="007F3771" w:rsidRDefault="008F666D" w:rsidP="004F32A1">
      <w:pPr>
        <w:rPr>
          <w:spacing w:val="4"/>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0"/>
      </w:tblGrid>
      <w:tr w:rsidR="008F666D" w:rsidTr="00043FDD">
        <w:trPr>
          <w:trHeight w:val="1059"/>
        </w:trPr>
        <w:tc>
          <w:tcPr>
            <w:tcW w:w="5760" w:type="dxa"/>
            <w:tcBorders>
              <w:top w:val="nil"/>
              <w:left w:val="nil"/>
              <w:bottom w:val="nil"/>
              <w:right w:val="nil"/>
            </w:tcBorders>
          </w:tcPr>
          <w:p w:rsidR="008F666D" w:rsidRPr="00043FDD" w:rsidRDefault="008F666D" w:rsidP="00043FDD">
            <w:pPr>
              <w:jc w:val="left"/>
              <w:rPr>
                <w:i/>
                <w:iCs/>
                <w:szCs w:val="24"/>
                <w:lang w:eastAsia="lv-LV"/>
              </w:rPr>
            </w:pPr>
            <w:r w:rsidRPr="00043FDD">
              <w:rPr>
                <w:i/>
                <w:iCs/>
                <w:szCs w:val="24"/>
                <w:lang w:eastAsia="lv-LV"/>
              </w:rPr>
              <w:t xml:space="preserve">Par Latvijas lauku tūrisma asociācijas </w:t>
            </w:r>
          </w:p>
          <w:p w:rsidR="008F666D" w:rsidRPr="00043FDD" w:rsidRDefault="008F666D" w:rsidP="00043FDD">
            <w:pPr>
              <w:jc w:val="left"/>
              <w:rPr>
                <w:i/>
                <w:iCs/>
                <w:szCs w:val="24"/>
                <w:lang w:eastAsia="lv-LV"/>
              </w:rPr>
            </w:pPr>
            <w:r w:rsidRPr="00043FDD">
              <w:rPr>
                <w:i/>
                <w:iCs/>
                <w:szCs w:val="24"/>
                <w:lang w:eastAsia="lv-LV"/>
              </w:rPr>
              <w:t xml:space="preserve">"Lauku ceļotājs" atklāto vēstuli, </w:t>
            </w:r>
          </w:p>
          <w:p w:rsidR="008F666D" w:rsidRPr="00043FDD" w:rsidRDefault="008F666D" w:rsidP="00043FDD">
            <w:pPr>
              <w:jc w:val="left"/>
              <w:rPr>
                <w:i/>
                <w:iCs/>
                <w:szCs w:val="24"/>
                <w:lang w:eastAsia="lv-LV"/>
              </w:rPr>
            </w:pPr>
            <w:r w:rsidRPr="00043FDD">
              <w:rPr>
                <w:i/>
                <w:iCs/>
                <w:szCs w:val="24"/>
                <w:lang w:eastAsia="lv-LV"/>
              </w:rPr>
              <w:t>kas pauž aktuālās problēmas lauku tūrisma nozarē</w:t>
            </w:r>
          </w:p>
        </w:tc>
      </w:tr>
    </w:tbl>
    <w:p w:rsidR="008F666D" w:rsidRPr="00615936" w:rsidRDefault="008F666D" w:rsidP="00C04DED">
      <w:pPr>
        <w:jc w:val="left"/>
        <w:rPr>
          <w:szCs w:val="24"/>
        </w:rPr>
      </w:pPr>
    </w:p>
    <w:p w:rsidR="008F666D" w:rsidRDefault="008F666D" w:rsidP="00100C1A">
      <w:pPr>
        <w:tabs>
          <w:tab w:val="left" w:pos="6740"/>
        </w:tabs>
        <w:ind w:firstLine="567"/>
        <w:rPr>
          <w:szCs w:val="24"/>
        </w:rPr>
      </w:pPr>
      <w:r w:rsidRPr="00835ED1">
        <w:rPr>
          <w:szCs w:val="24"/>
        </w:rPr>
        <w:t xml:space="preserve">Finanšu ministrija </w:t>
      </w:r>
      <w:r>
        <w:rPr>
          <w:szCs w:val="24"/>
        </w:rPr>
        <w:t xml:space="preserve">ir izskatījusi </w:t>
      </w:r>
      <w:r w:rsidRPr="00835ED1">
        <w:rPr>
          <w:szCs w:val="24"/>
        </w:rPr>
        <w:t>Latvijas Lauku Tūrisma Asociācija</w:t>
      </w:r>
      <w:r>
        <w:rPr>
          <w:szCs w:val="24"/>
        </w:rPr>
        <w:t>s 2</w:t>
      </w:r>
      <w:r w:rsidRPr="00835ED1">
        <w:rPr>
          <w:szCs w:val="24"/>
        </w:rPr>
        <w:t xml:space="preserve">017.gada </w:t>
      </w:r>
      <w:r>
        <w:rPr>
          <w:szCs w:val="24"/>
        </w:rPr>
        <w:t>14.decembra</w:t>
      </w:r>
      <w:r w:rsidRPr="00835ED1">
        <w:rPr>
          <w:szCs w:val="24"/>
        </w:rPr>
        <w:t xml:space="preserve"> </w:t>
      </w:r>
      <w:r>
        <w:rPr>
          <w:szCs w:val="24"/>
        </w:rPr>
        <w:t>vēstuli</w:t>
      </w:r>
      <w:r w:rsidRPr="00835ED1">
        <w:rPr>
          <w:szCs w:val="24"/>
        </w:rPr>
        <w:t xml:space="preserve"> par </w:t>
      </w:r>
      <w:r>
        <w:rPr>
          <w:szCs w:val="24"/>
        </w:rPr>
        <w:t>problēmām</w:t>
      </w:r>
      <w:r w:rsidRPr="00793B50">
        <w:rPr>
          <w:szCs w:val="24"/>
        </w:rPr>
        <w:t xml:space="preserve"> lauku tūrisma nozarē</w:t>
      </w:r>
      <w:r>
        <w:rPr>
          <w:szCs w:val="24"/>
        </w:rPr>
        <w:t xml:space="preserve"> un izsaka pateicību</w:t>
      </w:r>
      <w:r w:rsidRPr="00863F50">
        <w:rPr>
          <w:szCs w:val="24"/>
        </w:rPr>
        <w:t xml:space="preserve"> par Jūsu atklāto </w:t>
      </w:r>
      <w:r>
        <w:rPr>
          <w:szCs w:val="24"/>
        </w:rPr>
        <w:t>viedokli un sniegto informāciju – v</w:t>
      </w:r>
      <w:r w:rsidRPr="00863F50">
        <w:rPr>
          <w:szCs w:val="24"/>
        </w:rPr>
        <w:t>i</w:t>
      </w:r>
      <w:r>
        <w:rPr>
          <w:szCs w:val="24"/>
        </w:rPr>
        <w:t>ennozīmīgi šāda veida sazināšanā</w:t>
      </w:r>
      <w:r w:rsidRPr="00863F50">
        <w:rPr>
          <w:szCs w:val="24"/>
        </w:rPr>
        <w:t xml:space="preserve">s saite starp </w:t>
      </w:r>
      <w:r>
        <w:rPr>
          <w:szCs w:val="24"/>
        </w:rPr>
        <w:t>v</w:t>
      </w:r>
      <w:r w:rsidRPr="00863F50">
        <w:rPr>
          <w:szCs w:val="24"/>
        </w:rPr>
        <w:t xml:space="preserve">alsts un privāto sektoru ir ļoti nozīmīga un svarīga, jo tas palīdz gūt skaidrāku un konkrētāku priekštatu </w:t>
      </w:r>
      <w:r>
        <w:rPr>
          <w:szCs w:val="24"/>
        </w:rPr>
        <w:t xml:space="preserve">par šajā jomā esošām problēmām, kā arī </w:t>
      </w:r>
      <w:r w:rsidRPr="00863F50">
        <w:rPr>
          <w:szCs w:val="24"/>
        </w:rPr>
        <w:t xml:space="preserve">ļauj </w:t>
      </w:r>
      <w:r>
        <w:rPr>
          <w:szCs w:val="24"/>
        </w:rPr>
        <w:t>apzināt</w:t>
      </w:r>
      <w:r w:rsidRPr="00863F50">
        <w:rPr>
          <w:szCs w:val="24"/>
        </w:rPr>
        <w:t xml:space="preserve"> trūkumus un nepilnības</w:t>
      </w:r>
      <w:r w:rsidRPr="001A2830">
        <w:rPr>
          <w:szCs w:val="24"/>
        </w:rPr>
        <w:t xml:space="preserve"> </w:t>
      </w:r>
      <w:r>
        <w:rPr>
          <w:szCs w:val="24"/>
        </w:rPr>
        <w:t xml:space="preserve">valsts iestāžu darbībā </w:t>
      </w:r>
      <w:r w:rsidRPr="00863F50">
        <w:rPr>
          <w:szCs w:val="24"/>
        </w:rPr>
        <w:t>un turpināt darbu pie to mazināšanas un novēršanas.</w:t>
      </w:r>
      <w:r>
        <w:rPr>
          <w:szCs w:val="24"/>
        </w:rPr>
        <w:t xml:space="preserve"> </w:t>
      </w:r>
    </w:p>
    <w:p w:rsidR="008F666D" w:rsidRDefault="008F666D" w:rsidP="00100C1A">
      <w:pPr>
        <w:tabs>
          <w:tab w:val="left" w:pos="6740"/>
        </w:tabs>
        <w:ind w:firstLine="567"/>
        <w:rPr>
          <w:szCs w:val="24"/>
        </w:rPr>
      </w:pPr>
      <w:r>
        <w:rPr>
          <w:szCs w:val="24"/>
        </w:rPr>
        <w:t xml:space="preserve">Valsts pārvaldes iekārtas likuma (turpmāk – likums) 88.panta  pirmajā daļā ir noteiks, ka </w:t>
      </w:r>
      <w:r w:rsidRPr="008B52CF">
        <w:rPr>
          <w:szCs w:val="24"/>
        </w:rPr>
        <w:t>publiska persona</w:t>
      </w:r>
      <w:r>
        <w:rPr>
          <w:szCs w:val="24"/>
        </w:rPr>
        <w:t xml:space="preserve"> (konkrētajā gadījumā – pašvaldība)</w:t>
      </w:r>
      <w:r w:rsidRPr="008B52CF">
        <w:rPr>
          <w:szCs w:val="24"/>
        </w:rPr>
        <w:t xml:space="preserve"> savu funkciju efektīvai izpildei var dibināt kapitālsabiedrību vai iegūt līdzdalību esošā kapitālsabiedrībā, ja īstenojas </w:t>
      </w:r>
      <w:r>
        <w:rPr>
          <w:szCs w:val="24"/>
        </w:rPr>
        <w:t>likumā norādītie nosacījumi. Likuma 88.panta otrajā daļā ir norādīts, ka p</w:t>
      </w:r>
      <w:r w:rsidRPr="008B52CF">
        <w:rPr>
          <w:szCs w:val="24"/>
        </w:rPr>
        <w:t>ubliska persona pirms kapitālsabiedrības dibināšanas vai līdzdalības iegūšanas esošā kapitālsabiedrībā veic paredzētās rīcības izvērtējumu, ietverot arī ekonomisko izvērtējumu, lai pamatotu, ka citādā veidā nav iespējams efektīvi sasniegt šā panta</w:t>
      </w:r>
      <w:r>
        <w:rPr>
          <w:szCs w:val="24"/>
        </w:rPr>
        <w:t xml:space="preserve"> pirmajā daļā noteiktos mērķus. </w:t>
      </w:r>
      <w:r w:rsidRPr="008B52CF">
        <w:rPr>
          <w:szCs w:val="24"/>
        </w:rPr>
        <w:t xml:space="preserve">Veicot izvērtējumu, </w:t>
      </w:r>
      <w:r w:rsidRPr="008B52CF">
        <w:rPr>
          <w:szCs w:val="24"/>
          <w:u w:val="single"/>
        </w:rPr>
        <w:t>publiska persona konsultējas ar kompetentām institūcijām konkurences aizsardzības jomā</w:t>
      </w:r>
      <w:r w:rsidRPr="008B52CF">
        <w:rPr>
          <w:szCs w:val="24"/>
        </w:rPr>
        <w:t xml:space="preserve"> un komersantus pārstāvošām biedrībām vai nodibinājumiem, kā arī </w:t>
      </w:r>
      <w:r w:rsidRPr="008B52CF">
        <w:rPr>
          <w:szCs w:val="24"/>
          <w:u w:val="single"/>
        </w:rPr>
        <w:t>ievēro komercdarbības atbalsta kontroles jomu regulējošu normatīvo aktu prasības</w:t>
      </w:r>
      <w:r w:rsidRPr="008B52CF">
        <w:rPr>
          <w:szCs w:val="24"/>
        </w:rPr>
        <w:t>.</w:t>
      </w:r>
      <w:r>
        <w:rPr>
          <w:szCs w:val="24"/>
        </w:rPr>
        <w:t xml:space="preserve"> </w:t>
      </w:r>
    </w:p>
    <w:p w:rsidR="008F666D" w:rsidRPr="00E73DD3" w:rsidRDefault="008F666D" w:rsidP="00100C1A">
      <w:pPr>
        <w:tabs>
          <w:tab w:val="left" w:pos="6740"/>
        </w:tabs>
        <w:ind w:firstLine="567"/>
        <w:rPr>
          <w:szCs w:val="24"/>
        </w:rPr>
      </w:pPr>
      <w:r>
        <w:rPr>
          <w:szCs w:val="24"/>
        </w:rPr>
        <w:t xml:space="preserve">Paskaidrojam, ka </w:t>
      </w:r>
      <w:r w:rsidRPr="00E73DD3">
        <w:rPr>
          <w:szCs w:val="24"/>
        </w:rPr>
        <w:t xml:space="preserve">pašvaldībām vai to dibinātām kapitālsabiedrībām kopumā nav aizliegts veikt saimniecisko darbību, taču gadījumos, kad saimnieciskās darbības veikšanai tiek izmantoti publiskie resursi, var tikt uzskatīts, ka šie uzņēmumi ir saņēmuši komercdarbības atbalstu no pašvaldības (ja atbalsts atbilst arī citām komercdarbības atbalstu raksturojošām pazīmēm, kas noteiktas Komercdarbības atbalsta kontroles likuma 5.pantā). Tādā gadījumā komercdarbības atbalsta sniegšanai jāpiemēro atbilstošs normatīvais regulējums komercdarbības atbalsta jomā. </w:t>
      </w:r>
    </w:p>
    <w:p w:rsidR="008F666D" w:rsidRDefault="008F666D" w:rsidP="00100C1A">
      <w:pPr>
        <w:tabs>
          <w:tab w:val="left" w:pos="6740"/>
        </w:tabs>
        <w:ind w:firstLine="567"/>
        <w:rPr>
          <w:szCs w:val="24"/>
        </w:rPr>
      </w:pPr>
      <w:r w:rsidRPr="00E73DD3">
        <w:rPr>
          <w:szCs w:val="24"/>
        </w:rPr>
        <w:t>Tāpat pašvaldības var sniegt atbalstu komersantiem, piemēram, iznomājot telpas par cenu, kas ir zemāka par tirgus cenu, vai piešķirot publiskus līdzekļu</w:t>
      </w:r>
      <w:r>
        <w:rPr>
          <w:szCs w:val="24"/>
        </w:rPr>
        <w:t>s</w:t>
      </w:r>
      <w:r w:rsidRPr="00E73DD3">
        <w:rPr>
          <w:szCs w:val="24"/>
        </w:rPr>
        <w:t xml:space="preserve"> citā veidā. Arī šādos gadījumos ir jāievēro atbilstošs normatīvais regulējums komercdarbības atbalsta jomā (ja atbalsts atbilst visām komercdarbības atbalstu raksturojošām pazīmēm un tādēļ ir uzskatāms par komercdarbības atbalstu).</w:t>
      </w:r>
    </w:p>
    <w:p w:rsidR="008F666D" w:rsidRPr="00776A11" w:rsidRDefault="008F666D" w:rsidP="00100C1A">
      <w:pPr>
        <w:tabs>
          <w:tab w:val="left" w:pos="6740"/>
        </w:tabs>
        <w:ind w:firstLine="567"/>
        <w:rPr>
          <w:szCs w:val="24"/>
        </w:rPr>
      </w:pPr>
      <w:r>
        <w:rPr>
          <w:szCs w:val="24"/>
        </w:rPr>
        <w:lastRenderedPageBreak/>
        <w:t xml:space="preserve">Vēršam uzmanību, ka gadījumā, ja privātā persona uzskata, ka publiskās personas dibinātā kapitālsabiedrība, kura atrodas dominējošā stāvoklī, to </w:t>
      </w:r>
      <w:r w:rsidRPr="00372720">
        <w:rPr>
          <w:szCs w:val="24"/>
          <w:u w:val="single"/>
        </w:rPr>
        <w:t>ļaunprātīgi</w:t>
      </w:r>
      <w:r>
        <w:rPr>
          <w:szCs w:val="24"/>
        </w:rPr>
        <w:t xml:space="preserve"> izmanto, tādējādi pārkāpjot Konkurences likumu vai </w:t>
      </w:r>
      <w:r w:rsidRPr="008452D5">
        <w:rPr>
          <w:szCs w:val="24"/>
        </w:rPr>
        <w:t>cit</w:t>
      </w:r>
      <w:r>
        <w:rPr>
          <w:szCs w:val="24"/>
        </w:rPr>
        <w:t>us konkurenci regulējošos</w:t>
      </w:r>
      <w:r w:rsidRPr="008452D5">
        <w:rPr>
          <w:szCs w:val="24"/>
        </w:rPr>
        <w:t xml:space="preserve"> normatīv</w:t>
      </w:r>
      <w:r>
        <w:rPr>
          <w:szCs w:val="24"/>
        </w:rPr>
        <w:t xml:space="preserve">os aktus, tai ir iespēja ziņot par pārkāpumu Konkurences padomei, kura </w:t>
      </w:r>
      <w:r w:rsidRPr="008452D5">
        <w:rPr>
          <w:szCs w:val="24"/>
        </w:rPr>
        <w:t>īsteno valsts politiku konkurences attīst</w:t>
      </w:r>
      <w:r>
        <w:rPr>
          <w:szCs w:val="24"/>
        </w:rPr>
        <w:t xml:space="preserve">ības un aizsardzības jautājumos. Izvērtējot saņemto informāciju par dominējošā stāvokļa ļaunprātīgas izmantošanas aizlieguma iespējamo pārkāpumu, saskaņā ar Konkurences likuma 8.panta pirmās daļas 2.punktu </w:t>
      </w:r>
      <w:r w:rsidRPr="00375457">
        <w:rPr>
          <w:szCs w:val="24"/>
        </w:rPr>
        <w:t>Konkurences padome</w:t>
      </w:r>
      <w:r>
        <w:rPr>
          <w:szCs w:val="24"/>
        </w:rPr>
        <w:t xml:space="preserve"> ir</w:t>
      </w:r>
      <w:r w:rsidRPr="00375457">
        <w:rPr>
          <w:szCs w:val="24"/>
        </w:rPr>
        <w:t xml:space="preserve"> </w:t>
      </w:r>
      <w:r>
        <w:rPr>
          <w:szCs w:val="24"/>
        </w:rPr>
        <w:t>tiesīga pieņemt lēmumu</w:t>
      </w:r>
      <w:r w:rsidRPr="00776A11">
        <w:rPr>
          <w:szCs w:val="24"/>
        </w:rPr>
        <w:t xml:space="preserve"> par</w:t>
      </w:r>
      <w:r>
        <w:rPr>
          <w:szCs w:val="24"/>
        </w:rPr>
        <w:t xml:space="preserve"> </w:t>
      </w:r>
      <w:r w:rsidRPr="00776A11">
        <w:rPr>
          <w:szCs w:val="24"/>
        </w:rPr>
        <w:t>lietas ierosināšanu</w:t>
      </w:r>
      <w:r>
        <w:rPr>
          <w:szCs w:val="24"/>
        </w:rPr>
        <w:t>.</w:t>
      </w:r>
    </w:p>
    <w:p w:rsidR="008F666D" w:rsidRDefault="008F666D" w:rsidP="00100C1A">
      <w:pPr>
        <w:tabs>
          <w:tab w:val="left" w:pos="6740"/>
        </w:tabs>
        <w:ind w:firstLine="567"/>
        <w:rPr>
          <w:szCs w:val="24"/>
        </w:rPr>
      </w:pPr>
      <w:r>
        <w:rPr>
          <w:szCs w:val="24"/>
        </w:rPr>
        <w:t>Attiecībā uz Jūsu vēstulē sniegto priekšlikumu ieviest prasību pašvaldībām meklēt partnerus privātajā sektorā būtu jāatzīmē, ka šādas prasības ieviešana varētu ietekmēt konkurenci, tāpēc pirms tās ieviešanas būtu nepieciešams veikt analīzi par nepieciešamajām izmaiņām spēkā esošajos normatīvajos aktos, ievērojot Līgumu</w:t>
      </w:r>
      <w:r w:rsidRPr="00297AF4">
        <w:rPr>
          <w:szCs w:val="24"/>
        </w:rPr>
        <w:t xml:space="preserve"> par Eiropas Savienības darbību</w:t>
      </w:r>
      <w:r>
        <w:rPr>
          <w:szCs w:val="24"/>
        </w:rPr>
        <w:t xml:space="preserve">, un saņemt kompetento iestāžu atzinumu par prasības lietderīgumu. </w:t>
      </w:r>
    </w:p>
    <w:p w:rsidR="008F666D" w:rsidRDefault="008F666D" w:rsidP="00100C1A">
      <w:pPr>
        <w:tabs>
          <w:tab w:val="left" w:pos="6740"/>
        </w:tabs>
        <w:ind w:firstLine="567"/>
        <w:rPr>
          <w:szCs w:val="24"/>
        </w:rPr>
      </w:pPr>
      <w:r>
        <w:rPr>
          <w:szCs w:val="24"/>
        </w:rPr>
        <w:t xml:space="preserve">Papildus jāatzīmē, ka Tūrisma likuma 8.pants nosaka, ka pašvaldības </w:t>
      </w:r>
      <w:r w:rsidRPr="007D3DB0">
        <w:rPr>
          <w:szCs w:val="24"/>
        </w:rPr>
        <w:t xml:space="preserve">saskaņā ar teritorijas attīstības plānošanas dokumentiem nodrošina tūrisma objektu saglabāšanu un iespējas </w:t>
      </w:r>
      <w:r>
        <w:rPr>
          <w:szCs w:val="24"/>
        </w:rPr>
        <w:t>tos izmantot tūrisma vajadzībām, līdz ar to, kopsakarā ar likuma</w:t>
      </w:r>
      <w:r w:rsidRPr="007D3DB0">
        <w:rPr>
          <w:szCs w:val="24"/>
        </w:rPr>
        <w:t xml:space="preserve"> 88.panta</w:t>
      </w:r>
      <w:r>
        <w:rPr>
          <w:szCs w:val="24"/>
        </w:rPr>
        <w:t xml:space="preserve"> pirmo </w:t>
      </w:r>
      <w:r w:rsidRPr="007D3DB0">
        <w:rPr>
          <w:szCs w:val="24"/>
        </w:rPr>
        <w:t>daļ</w:t>
      </w:r>
      <w:r>
        <w:rPr>
          <w:szCs w:val="24"/>
        </w:rPr>
        <w:t>u, pašvaldībai ir tiesības sniegt pakalpojumus</w:t>
      </w:r>
      <w:r w:rsidRPr="007D3DB0">
        <w:rPr>
          <w:szCs w:val="24"/>
        </w:rPr>
        <w:t>, kas ir stratēģiski svarīgi valsts vai pašvaldības administratīvās teritorijas attīstībai</w:t>
      </w:r>
      <w:r>
        <w:rPr>
          <w:szCs w:val="24"/>
        </w:rPr>
        <w:t xml:space="preserve">. </w:t>
      </w:r>
    </w:p>
    <w:p w:rsidR="008F666D" w:rsidRDefault="008F666D" w:rsidP="00100C1A">
      <w:pPr>
        <w:tabs>
          <w:tab w:val="left" w:pos="6740"/>
        </w:tabs>
        <w:ind w:firstLine="567"/>
        <w:rPr>
          <w:szCs w:val="24"/>
        </w:rPr>
      </w:pPr>
      <w:r>
        <w:rPr>
          <w:szCs w:val="24"/>
        </w:rPr>
        <w:t>Attiecībā uz Jūsu vēstulē minēto kontrolējošo institūciju ierēdņu neprofesionālo attieksmi  un konkurenci ar nereģistrēto uzņēmējdarbību, skaidrojam, ka katrā nozarē ir savi specifiskie normatīvie akti, kuri paredz atbildīgās iestādes kompetenci, konkrētus uzraudzības pasākumus un nosaka termiņus, kādos kontroles pasākumi tiek veikti no atbildīgās iestādes puses. Vēršam uzmanību, ka normatīvie akti paredz iespēju atsevišķos gadījumos veikt nepieteiktās pārbaudes, t.i., par plānoto pārbaudi neinformējot iepriekš, tādējādi s</w:t>
      </w:r>
      <w:r w:rsidRPr="00863F50">
        <w:rPr>
          <w:szCs w:val="24"/>
        </w:rPr>
        <w:t xml:space="preserve">avlaicīgi </w:t>
      </w:r>
      <w:r>
        <w:rPr>
          <w:color w:val="000000"/>
          <w:szCs w:val="28"/>
          <w:lang w:eastAsia="lv-LV"/>
        </w:rPr>
        <w:t>identificējot</w:t>
      </w:r>
      <w:r w:rsidRPr="002F0B04">
        <w:rPr>
          <w:color w:val="000000"/>
          <w:szCs w:val="28"/>
          <w:lang w:eastAsia="lv-LV"/>
        </w:rPr>
        <w:t xml:space="preserve"> būtiskus nodokļu nenomaksas riskus, piemēram, nereģistrētus darbiniekus un neuzskaitītus ieņēmumus</w:t>
      </w:r>
      <w:r>
        <w:rPr>
          <w:color w:val="000000"/>
          <w:szCs w:val="28"/>
          <w:lang w:eastAsia="lv-LV"/>
        </w:rPr>
        <w:t xml:space="preserve"> </w:t>
      </w:r>
      <w:r>
        <w:rPr>
          <w:szCs w:val="24"/>
        </w:rPr>
        <w:t xml:space="preserve">. </w:t>
      </w:r>
    </w:p>
    <w:p w:rsidR="008F666D" w:rsidRPr="00B970FA" w:rsidRDefault="008F666D" w:rsidP="00100C1A">
      <w:pPr>
        <w:ind w:firstLine="709"/>
        <w:rPr>
          <w:szCs w:val="28"/>
          <w:lang w:eastAsia="lv-LV"/>
        </w:rPr>
      </w:pPr>
      <w:r>
        <w:rPr>
          <w:szCs w:val="28"/>
          <w:lang w:eastAsia="lv-LV"/>
        </w:rPr>
        <w:t>Vienlaikus skaidrojam, ka, l</w:t>
      </w:r>
      <w:r w:rsidRPr="00B970FA">
        <w:rPr>
          <w:szCs w:val="28"/>
          <w:lang w:eastAsia="lv-LV"/>
        </w:rPr>
        <w:t xml:space="preserve">ai nodrošinātu pastāvīgu, savlaicīgu un efektīvu nodokļu kontroles pasākumu veikšanu, VID nodokļu kontroles darbu plāno tā, lai: </w:t>
      </w:r>
    </w:p>
    <w:p w:rsidR="008F666D" w:rsidRPr="00B970FA" w:rsidRDefault="008F666D" w:rsidP="00100C1A">
      <w:pPr>
        <w:pStyle w:val="ListParagraph"/>
        <w:numPr>
          <w:ilvl w:val="0"/>
          <w:numId w:val="1"/>
        </w:numPr>
        <w:spacing w:after="0" w:line="240" w:lineRule="auto"/>
        <w:jc w:val="both"/>
        <w:rPr>
          <w:rFonts w:ascii="Times New Roman" w:hAnsi="Times New Roman"/>
          <w:sz w:val="24"/>
          <w:szCs w:val="28"/>
          <w:lang w:eastAsia="lv-LV"/>
        </w:rPr>
      </w:pPr>
      <w:r w:rsidRPr="00B970FA">
        <w:rPr>
          <w:rFonts w:ascii="Times New Roman" w:hAnsi="Times New Roman"/>
          <w:sz w:val="24"/>
          <w:szCs w:val="28"/>
          <w:lang w:eastAsia="lv-LV"/>
        </w:rPr>
        <w:t xml:space="preserve">pēc iespējas ātrāk un efektīvāk varētu pārbaudīt tos nodokļu maksātājus, kuriem riska analīzes rezultātā konstatēts visaugstākais risks, kas liecina par izvairīšanos no nodokļu aprēķināšanas un maksāšanas budžetā; </w:t>
      </w:r>
    </w:p>
    <w:p w:rsidR="008F666D" w:rsidRPr="00B970FA" w:rsidRDefault="008F666D" w:rsidP="00100C1A">
      <w:pPr>
        <w:pStyle w:val="ListParagraph"/>
        <w:numPr>
          <w:ilvl w:val="0"/>
          <w:numId w:val="1"/>
        </w:numPr>
        <w:spacing w:after="0" w:line="240" w:lineRule="auto"/>
        <w:jc w:val="both"/>
        <w:rPr>
          <w:rFonts w:ascii="Times New Roman" w:hAnsi="Times New Roman"/>
          <w:sz w:val="24"/>
          <w:szCs w:val="28"/>
          <w:lang w:eastAsia="lv-LV"/>
        </w:rPr>
      </w:pPr>
      <w:r w:rsidRPr="00B970FA">
        <w:rPr>
          <w:rFonts w:ascii="Times New Roman" w:hAnsi="Times New Roman"/>
          <w:sz w:val="24"/>
          <w:szCs w:val="28"/>
          <w:lang w:eastAsia="lv-LV"/>
        </w:rPr>
        <w:t xml:space="preserve">savlaicīgi atklātu un novērstu pieļautos normatīvo aktu pārkāpumus nodokļu maksātāja saimnieciskajā darbībā; </w:t>
      </w:r>
    </w:p>
    <w:p w:rsidR="008F666D" w:rsidRPr="00B970FA" w:rsidRDefault="008F666D" w:rsidP="00100C1A">
      <w:pPr>
        <w:pStyle w:val="ListParagraph"/>
        <w:numPr>
          <w:ilvl w:val="0"/>
          <w:numId w:val="1"/>
        </w:numPr>
        <w:spacing w:after="0" w:line="240" w:lineRule="auto"/>
        <w:jc w:val="both"/>
        <w:rPr>
          <w:rFonts w:ascii="Times New Roman" w:hAnsi="Times New Roman"/>
          <w:sz w:val="24"/>
          <w:szCs w:val="28"/>
          <w:lang w:eastAsia="lv-LV"/>
        </w:rPr>
      </w:pPr>
      <w:r w:rsidRPr="00B970FA">
        <w:rPr>
          <w:rFonts w:ascii="Times New Roman" w:hAnsi="Times New Roman"/>
          <w:sz w:val="24"/>
          <w:szCs w:val="28"/>
          <w:lang w:eastAsia="lv-LV"/>
        </w:rPr>
        <w:t xml:space="preserve">efektīvi tiktu izmantoti VID kontroles struktūrvienību resursi; </w:t>
      </w:r>
    </w:p>
    <w:p w:rsidR="008F666D" w:rsidRPr="00B970FA" w:rsidRDefault="008F666D" w:rsidP="00100C1A">
      <w:pPr>
        <w:pStyle w:val="ListParagraph"/>
        <w:numPr>
          <w:ilvl w:val="0"/>
          <w:numId w:val="1"/>
        </w:numPr>
        <w:spacing w:after="0" w:line="240" w:lineRule="auto"/>
        <w:jc w:val="both"/>
        <w:rPr>
          <w:rFonts w:ascii="Times New Roman" w:hAnsi="Times New Roman"/>
          <w:sz w:val="24"/>
          <w:szCs w:val="28"/>
          <w:lang w:eastAsia="lv-LV"/>
        </w:rPr>
      </w:pPr>
      <w:r w:rsidRPr="00B970FA">
        <w:rPr>
          <w:rFonts w:ascii="Times New Roman" w:hAnsi="Times New Roman"/>
          <w:sz w:val="24"/>
          <w:szCs w:val="28"/>
          <w:lang w:eastAsia="lv-LV"/>
        </w:rPr>
        <w:t>izvērtējot fiskālo ieguvumu, paredzētā nodokļu audita izmaksas nebūtu augstākas par iespējamo ieguvumu, kas varētu tikt aprēķināts iemaksai valsts budžetā.</w:t>
      </w:r>
    </w:p>
    <w:p w:rsidR="008F666D" w:rsidRPr="00B970FA" w:rsidRDefault="008F666D" w:rsidP="00100C1A">
      <w:pPr>
        <w:ind w:firstLine="709"/>
        <w:rPr>
          <w:szCs w:val="28"/>
          <w:lang w:eastAsia="lv-LV"/>
        </w:rPr>
      </w:pPr>
      <w:r w:rsidRPr="00B970FA">
        <w:rPr>
          <w:szCs w:val="28"/>
          <w:lang w:eastAsia="lv-LV"/>
        </w:rPr>
        <w:t>Tādējādi, ņemot vērā iepriekšminētos principus, VID neatlasa uzņēmumus kontroles pasākuma veikšanai, ievērojot periodiskumu, piemēram, divus gadus, bet gan atbilstoši riska analīzes rezultātiem. Turklāt, pēc iespējas ātrāk novēršot konstatētos riskus un kļūdas, nodokļu maksātajam samazinās maksājamās nokavējuma naudas apmērs.</w:t>
      </w:r>
    </w:p>
    <w:p w:rsidR="008F666D" w:rsidRPr="00087E31" w:rsidRDefault="008F666D" w:rsidP="00100C1A">
      <w:pPr>
        <w:ind w:firstLine="709"/>
        <w:rPr>
          <w:color w:val="000000"/>
          <w:sz w:val="28"/>
          <w:szCs w:val="28"/>
          <w:lang w:eastAsia="lv-LV"/>
        </w:rPr>
      </w:pPr>
      <w:r>
        <w:rPr>
          <w:szCs w:val="28"/>
          <w:lang w:eastAsia="lv-LV"/>
        </w:rPr>
        <w:t>P</w:t>
      </w:r>
      <w:r w:rsidRPr="002F0B04">
        <w:rPr>
          <w:szCs w:val="28"/>
          <w:lang w:eastAsia="lv-LV"/>
        </w:rPr>
        <w:t xml:space="preserve">irms kontroles pasākuma veikšanas VID amatpersonas atsevišķos gadījumos </w:t>
      </w:r>
      <w:r w:rsidRPr="002F0B04">
        <w:rPr>
          <w:color w:val="000000"/>
          <w:szCs w:val="28"/>
          <w:lang w:eastAsia="lv-LV"/>
        </w:rPr>
        <w:t xml:space="preserve">informē </w:t>
      </w:r>
      <w:r w:rsidRPr="002F0B04">
        <w:rPr>
          <w:szCs w:val="28"/>
          <w:lang w:eastAsia="lv-LV"/>
        </w:rPr>
        <w:t>nodokļu maksātāju par pārbaudes veikšanu. Piemēram, j</w:t>
      </w:r>
      <w:r w:rsidRPr="002F0B04">
        <w:rPr>
          <w:color w:val="000000"/>
          <w:szCs w:val="28"/>
          <w:lang w:eastAsia="lv-LV"/>
        </w:rPr>
        <w:t xml:space="preserve">a tematiskajā pārbaudē plānots pārbaudīt grāmatvedības dokumentus un reģistrus, </w:t>
      </w:r>
      <w:r w:rsidRPr="002F0B04">
        <w:rPr>
          <w:szCs w:val="28"/>
          <w:lang w:eastAsia="lv-LV"/>
        </w:rPr>
        <w:t>VID amatpersonas</w:t>
      </w:r>
      <w:r w:rsidRPr="002F0B04">
        <w:rPr>
          <w:color w:val="000000"/>
          <w:szCs w:val="28"/>
          <w:lang w:eastAsia="lv-LV"/>
        </w:rPr>
        <w:t xml:space="preserve"> pirms pārbaudes var sazināties ar nodokļu maksātāju un vienoties par tematiskās pārbaudes veikšanas vietu un laiku</w:t>
      </w:r>
      <w:r w:rsidRPr="002F0B04">
        <w:rPr>
          <w:szCs w:val="28"/>
          <w:lang w:eastAsia="lv-LV"/>
        </w:rPr>
        <w:t>.</w:t>
      </w:r>
      <w:r w:rsidRPr="002F0B04">
        <w:rPr>
          <w:color w:val="000000"/>
          <w:szCs w:val="28"/>
          <w:lang w:eastAsia="lv-LV"/>
        </w:rPr>
        <w:t xml:space="preserve"> Tāpat VID iepriekš informē par novērošanas veikšanu. Savukārt, ja VID pieņem lēmumu par nodokļu audita veikšanu, nodokļu maksātājam par audita uzsākšanu paziņo ne vēlāk kā 10 darba dienas pirms audita sākuma un nosūta lēmumu par nodokļu audita veikšanu. Savukārt, ja audits tiek uzsākts, lai izvērtētu nodokļa pārmaksas atmaksas pamatotību, vai, ja ir pierādījumi, ka nodokļu maksātājs veic darbības, lai izvairītos no nodokļu audita vai to apgrūtina, VID neinformē nodokļu maksātāju par nodokļu audita veikšanu un lēmumu par nodokļu audita veikšanu nodokļu maksātājam izsniedz pirms nodokļu audita uzsākšanas. </w:t>
      </w:r>
    </w:p>
    <w:p w:rsidR="008F666D" w:rsidRDefault="008F666D" w:rsidP="00100C1A">
      <w:pPr>
        <w:tabs>
          <w:tab w:val="left" w:pos="6740"/>
        </w:tabs>
        <w:ind w:firstLine="567"/>
        <w:rPr>
          <w:szCs w:val="24"/>
        </w:rPr>
      </w:pPr>
      <w:r>
        <w:rPr>
          <w:szCs w:val="24"/>
        </w:rPr>
        <w:t>Apzināmies, ka nodokļu kontroles pasākumi varētu radīt</w:t>
      </w:r>
      <w:r w:rsidRPr="00A37359">
        <w:rPr>
          <w:szCs w:val="24"/>
        </w:rPr>
        <w:t xml:space="preserve"> </w:t>
      </w:r>
      <w:r>
        <w:rPr>
          <w:szCs w:val="24"/>
        </w:rPr>
        <w:t>nepatīkamus</w:t>
      </w:r>
      <w:r w:rsidRPr="00A37359">
        <w:rPr>
          <w:szCs w:val="24"/>
        </w:rPr>
        <w:t xml:space="preserve"> iemesl</w:t>
      </w:r>
      <w:r>
        <w:rPr>
          <w:szCs w:val="24"/>
        </w:rPr>
        <w:t>u</w:t>
      </w:r>
      <w:r w:rsidRPr="00A37359">
        <w:rPr>
          <w:szCs w:val="24"/>
        </w:rPr>
        <w:t>s uzņēmējam tikties ar dažādu kontrolējošo iestāžu darbiniekiem,</w:t>
      </w:r>
      <w:r>
        <w:rPr>
          <w:szCs w:val="24"/>
        </w:rPr>
        <w:t xml:space="preserve"> taču vēršam uzmanību, ka valsts iestādes iekšējie normatīvie akti regulē profesionālās ētikas jautājumus, t.sk. </w:t>
      </w:r>
      <w:r w:rsidRPr="008C0C78">
        <w:rPr>
          <w:szCs w:val="24"/>
        </w:rPr>
        <w:t xml:space="preserve">vispārējās uzvedības </w:t>
      </w:r>
      <w:r w:rsidRPr="008C0C78">
        <w:rPr>
          <w:szCs w:val="24"/>
        </w:rPr>
        <w:lastRenderedPageBreak/>
        <w:t>normas</w:t>
      </w:r>
      <w:r>
        <w:rPr>
          <w:szCs w:val="24"/>
        </w:rPr>
        <w:t xml:space="preserve">, lai </w:t>
      </w:r>
      <w:r w:rsidRPr="008C0C78">
        <w:rPr>
          <w:szCs w:val="24"/>
        </w:rPr>
        <w:t>veicināt</w:t>
      </w:r>
      <w:r>
        <w:rPr>
          <w:szCs w:val="24"/>
        </w:rPr>
        <w:t>u</w:t>
      </w:r>
      <w:r w:rsidRPr="008C0C78">
        <w:rPr>
          <w:szCs w:val="24"/>
        </w:rPr>
        <w:t xml:space="preserve"> darbinieku likumīgu un godprāt</w:t>
      </w:r>
      <w:r>
        <w:rPr>
          <w:szCs w:val="24"/>
        </w:rPr>
        <w:t>īgu darbu sabiedrības interesēs, tādējādi sekmējot nodokļu maksātāja un attiecīgās</w:t>
      </w:r>
      <w:r w:rsidRPr="008C0C78">
        <w:rPr>
          <w:szCs w:val="24"/>
        </w:rPr>
        <w:t xml:space="preserve"> valsts iestā</w:t>
      </w:r>
      <w:r>
        <w:rPr>
          <w:szCs w:val="24"/>
        </w:rPr>
        <w:t xml:space="preserve">des darbinieka </w:t>
      </w:r>
      <w:r w:rsidRPr="008C0C78">
        <w:rPr>
          <w:szCs w:val="24"/>
        </w:rPr>
        <w:t>sadarbību</w:t>
      </w:r>
      <w:r>
        <w:rPr>
          <w:szCs w:val="24"/>
        </w:rPr>
        <w:t>.</w:t>
      </w:r>
    </w:p>
    <w:p w:rsidR="008F666D" w:rsidRPr="00B970FA" w:rsidRDefault="008F666D" w:rsidP="00100C1A">
      <w:pPr>
        <w:tabs>
          <w:tab w:val="left" w:pos="6740"/>
        </w:tabs>
        <w:ind w:firstLine="567"/>
        <w:rPr>
          <w:szCs w:val="24"/>
        </w:rPr>
      </w:pPr>
      <w:r w:rsidRPr="00B970FA">
        <w:rPr>
          <w:szCs w:val="24"/>
        </w:rPr>
        <w:t>2017.gada 15.jūnijā 22 uzraudzības iestādes (tostarp arī VID) un uzņēmēju organizācijas ar Ministru prezidentu Māri Kučinski un ekonomikas ministru Arvilu Ašeradenu parakstīja sadarbības memorandu par principa “Konsultē vispirms” iedzīvināšanu, lai veicinātu uz klientu orientētas valsts pārvaldes veidošanu, mērķtiecīgi mainot līdzšinējo sadarbības modeli un kopīgi virzoties uz atklātu, visiem pieejamu, saprotamu valsts pārvaldi un izcilu uzņēmējdarbības vidi.</w:t>
      </w:r>
    </w:p>
    <w:p w:rsidR="008F666D" w:rsidRPr="00B970FA" w:rsidRDefault="008F666D" w:rsidP="00100C1A">
      <w:pPr>
        <w:tabs>
          <w:tab w:val="left" w:pos="6740"/>
        </w:tabs>
        <w:ind w:firstLine="567"/>
        <w:rPr>
          <w:szCs w:val="24"/>
        </w:rPr>
      </w:pPr>
      <w:r w:rsidRPr="00B970FA">
        <w:rPr>
          <w:szCs w:val="24"/>
        </w:rPr>
        <w:t>Savukārt 2017.gada 28.decembrī ir apstiprinātas vadlīnijas un pasākumu plāns principa “Konsultē vispirms” piemērošanai VID, lai iedzīvinātu “Konsultē vispirms” principu un veicinātu ierēdņu un darbinieku izpratni par to.</w:t>
      </w:r>
      <w:r>
        <w:rPr>
          <w:szCs w:val="24"/>
        </w:rPr>
        <w:t xml:space="preserve"> </w:t>
      </w:r>
      <w:r w:rsidRPr="00B970FA">
        <w:rPr>
          <w:szCs w:val="24"/>
        </w:rPr>
        <w:t>Vadlīnijas un pasākumu plāns ir balstīts uz diviem galvenajiem darbības virzieniem:</w:t>
      </w:r>
    </w:p>
    <w:p w:rsidR="008F666D" w:rsidRPr="00B970FA" w:rsidRDefault="008F666D" w:rsidP="00100C1A">
      <w:pPr>
        <w:pStyle w:val="ListParagraph"/>
        <w:numPr>
          <w:ilvl w:val="0"/>
          <w:numId w:val="2"/>
        </w:numPr>
        <w:tabs>
          <w:tab w:val="left" w:pos="6740"/>
        </w:tabs>
        <w:spacing w:after="0" w:line="240" w:lineRule="auto"/>
        <w:ind w:left="1134" w:hanging="425"/>
        <w:jc w:val="both"/>
        <w:rPr>
          <w:rFonts w:ascii="Times New Roman" w:hAnsi="Times New Roman"/>
          <w:sz w:val="24"/>
          <w:szCs w:val="24"/>
        </w:rPr>
      </w:pPr>
      <w:r w:rsidRPr="00B970FA">
        <w:rPr>
          <w:rFonts w:ascii="Times New Roman" w:hAnsi="Times New Roman"/>
          <w:sz w:val="24"/>
          <w:szCs w:val="24"/>
        </w:rPr>
        <w:t>uz klientu orientēta darbību – preventīvi panākt savstarpēju sapratni un sadarbību starp VID un VID klientiem, kā arī veicināt normatīvajos aktos noteikto prasību izpildi, sniedzot tiesību normu skaidrojumu, lai nākotnē VID klientam nekonstatētu pārkāpumus un nebūtu jāpiemēro soda sankcijas;</w:t>
      </w:r>
    </w:p>
    <w:p w:rsidR="008F666D" w:rsidRPr="00B970FA" w:rsidRDefault="008F666D" w:rsidP="00100C1A">
      <w:pPr>
        <w:pStyle w:val="ListParagraph"/>
        <w:numPr>
          <w:ilvl w:val="0"/>
          <w:numId w:val="2"/>
        </w:numPr>
        <w:tabs>
          <w:tab w:val="left" w:pos="6740"/>
        </w:tabs>
        <w:spacing w:after="0" w:line="240" w:lineRule="auto"/>
        <w:ind w:left="1134" w:hanging="425"/>
        <w:jc w:val="both"/>
        <w:rPr>
          <w:rFonts w:ascii="Times New Roman" w:hAnsi="Times New Roman"/>
          <w:sz w:val="24"/>
          <w:szCs w:val="24"/>
        </w:rPr>
      </w:pPr>
      <w:r w:rsidRPr="00B970FA">
        <w:rPr>
          <w:rFonts w:ascii="Times New Roman" w:hAnsi="Times New Roman"/>
          <w:sz w:val="24"/>
          <w:szCs w:val="24"/>
        </w:rPr>
        <w:t>efektīvu uzraudzību – īstenojot uzraudzības pasākumu kopumu, lai nodrošinātu normatīvajos aktos noteikto prasību ievērošanu, informējot VID klientus par konstatētajiem pārkāpumiem/neatbilstībām, vienlaikus sniedzot ieteikumus un dodot iespēju VID klientam novērst pārkāpumu/neatbilstību noteiktā termiņā.</w:t>
      </w:r>
    </w:p>
    <w:p w:rsidR="008F666D" w:rsidRPr="00B970FA" w:rsidRDefault="008F666D" w:rsidP="00100C1A">
      <w:pPr>
        <w:tabs>
          <w:tab w:val="left" w:pos="6740"/>
        </w:tabs>
        <w:ind w:firstLine="567"/>
        <w:rPr>
          <w:szCs w:val="24"/>
        </w:rPr>
      </w:pPr>
      <w:r w:rsidRPr="00B970FA">
        <w:rPr>
          <w:szCs w:val="24"/>
        </w:rPr>
        <w:t>Daži no galvenajiem sasniedzamajiem rezultātiem pasākumu plānā ir:</w:t>
      </w:r>
    </w:p>
    <w:p w:rsidR="008F666D" w:rsidRPr="00B970FA" w:rsidRDefault="008F666D" w:rsidP="00100C1A">
      <w:pPr>
        <w:pStyle w:val="ListParagraph"/>
        <w:numPr>
          <w:ilvl w:val="0"/>
          <w:numId w:val="3"/>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pārskatīti VID procesi, identificējot tos, kuros iespējams piemērot principu “Konsultē vispirms”;</w:t>
      </w:r>
    </w:p>
    <w:p w:rsidR="008F666D" w:rsidRPr="00B970FA" w:rsidRDefault="008F666D" w:rsidP="00100C1A">
      <w:pPr>
        <w:pStyle w:val="ListParagraph"/>
        <w:numPr>
          <w:ilvl w:val="0"/>
          <w:numId w:val="3"/>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izvērtēti un noteikti kritēriji nodokļu administrēšanas (t.sk. nodokļu kontroles pasākumos), muitas lietu un akcīzes preču aprites jomā, kuros iespējams piemērot principu “Konsultē vispirms”, un īstenoti pasākumi tā piemērošanai;</w:t>
      </w:r>
    </w:p>
    <w:p w:rsidR="008F666D" w:rsidRPr="00B970FA" w:rsidRDefault="008F666D" w:rsidP="00100C1A">
      <w:pPr>
        <w:pStyle w:val="ListParagraph"/>
        <w:numPr>
          <w:ilvl w:val="0"/>
          <w:numId w:val="3"/>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veikti grozījumi iekšējos noteikumos, kas paredz principa “Konsultē vispirms” integrēšanu;</w:t>
      </w:r>
    </w:p>
    <w:p w:rsidR="008F666D" w:rsidRPr="00B970FA" w:rsidRDefault="008F666D" w:rsidP="00100C1A">
      <w:pPr>
        <w:pStyle w:val="ListParagraph"/>
        <w:numPr>
          <w:ilvl w:val="0"/>
          <w:numId w:val="3"/>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nodokļu maksātājam viegli uztveramā veidā sagatavoti metodiskie un informatīvie materiāli un nosūtāmās vēstules.</w:t>
      </w:r>
    </w:p>
    <w:p w:rsidR="008F666D" w:rsidRPr="00B970FA" w:rsidRDefault="008F666D" w:rsidP="00100C1A">
      <w:pPr>
        <w:tabs>
          <w:tab w:val="left" w:pos="6740"/>
        </w:tabs>
        <w:ind w:firstLine="567"/>
        <w:rPr>
          <w:szCs w:val="24"/>
        </w:rPr>
      </w:pPr>
      <w:r w:rsidRPr="00B970FA">
        <w:rPr>
          <w:szCs w:val="24"/>
        </w:rPr>
        <w:t xml:space="preserve">Ņemot vērā, ka VID pašmērķis nav sodīt nodokļu maksātāju par tematiskajā pārbaudē konstatēto pārkāpumu, bet gan vērst tā uzmanību uz pieļauto neprecizitāti, VID dot iespēju pārkāpumu novērst un izskaidro normatīvo aktu piemērošanas nianses konkrētajās situācijās, kā arī saistībā ar “Konsultē vispirms” principa ieviešanu administratīvā lietvedība netiek uzsākta, ja tematiskās pārbaudes laikā konstatē maznozīmīgu pārkāpumu vai pārkāpumu saistībā ar nodokļu nepilnīgu aprēķināšanu un nomaksu budžetā, kuru nodokļu maksātājs pārbaudes laikā novērš. </w:t>
      </w:r>
    </w:p>
    <w:p w:rsidR="008F666D" w:rsidRPr="00B970FA" w:rsidRDefault="008F666D" w:rsidP="00100C1A">
      <w:pPr>
        <w:tabs>
          <w:tab w:val="left" w:pos="6740"/>
        </w:tabs>
        <w:ind w:firstLine="567"/>
        <w:rPr>
          <w:szCs w:val="24"/>
        </w:rPr>
      </w:pPr>
      <w:r w:rsidRPr="00B970FA">
        <w:rPr>
          <w:szCs w:val="24"/>
        </w:rPr>
        <w:t xml:space="preserve">Lai nodokļu kontroles darbā ieviestu “Konsultē vispirms” principu, kas paredz pienākumu valsts iestādēm ieviest konsultāciju mehānismu, proti, skaidrot fiziskajām un juridiskajām personām piemērojamās normas un prasības, tai skaitā pirms administratīvā procesa uzsākšanas, VID katru kontroles pasākumu laikā konstatēto pārkāpumu izvērtē individuāli, ņemot vērā tā raksturu, regularitāti, atkārtojamību, ietekmi uz nodokļiem, radīto iespēju manipulēt ar ierakstiem reģistros, žurnālos, nodokļu maksātāja vainas formu un attieksmi pret izdarīto pārkāpumu u.c. pazīmes. </w:t>
      </w:r>
    </w:p>
    <w:p w:rsidR="008F666D" w:rsidRPr="00B970FA" w:rsidRDefault="008F666D" w:rsidP="00100C1A">
      <w:pPr>
        <w:tabs>
          <w:tab w:val="left" w:pos="6740"/>
        </w:tabs>
        <w:ind w:firstLine="567"/>
        <w:rPr>
          <w:szCs w:val="24"/>
        </w:rPr>
      </w:pPr>
      <w:r w:rsidRPr="00B970FA">
        <w:rPr>
          <w:szCs w:val="24"/>
        </w:rPr>
        <w:t xml:space="preserve"> “Konsultē vispirms” principa nodrošināšana ir īpaši būtiska, ja acīmredzami tiek konstatēts pirmreizējs pārkāpums, dodot termiņu nepilnību novēršanai. Minēto principu piemēro arī gadījumos, kad persona neizprot tai izvirzītās prasības, jo soda piemērošana šādos gadījumos var radīt ilgstošu neizpratni un neapmierinātību ar VID darbu.</w:t>
      </w:r>
    </w:p>
    <w:p w:rsidR="008F666D" w:rsidRPr="00B970FA" w:rsidRDefault="008F666D" w:rsidP="00100C1A">
      <w:pPr>
        <w:tabs>
          <w:tab w:val="left" w:pos="6740"/>
        </w:tabs>
        <w:ind w:firstLine="567"/>
        <w:rPr>
          <w:szCs w:val="24"/>
        </w:rPr>
      </w:pPr>
      <w:r w:rsidRPr="00B970FA">
        <w:rPr>
          <w:szCs w:val="24"/>
        </w:rPr>
        <w:t>Turklāt, īstenojot “Konsultē vispirms” principu, VID nodokļu inspektori tematiskās pārbaudes un nodokļu audita laikā:</w:t>
      </w:r>
    </w:p>
    <w:p w:rsidR="008F666D" w:rsidRPr="00B970FA" w:rsidRDefault="008F666D" w:rsidP="00100C1A">
      <w:pPr>
        <w:pStyle w:val="ListParagraph"/>
        <w:numPr>
          <w:ilvl w:val="1"/>
          <w:numId w:val="2"/>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 xml:space="preserve">nodokļu maksātāju </w:t>
      </w:r>
      <w:r w:rsidRPr="00B970FA">
        <w:rPr>
          <w:rFonts w:ascii="Times New Roman" w:hAnsi="Times New Roman"/>
          <w:sz w:val="24"/>
          <w:szCs w:val="24"/>
        </w:rPr>
        <w:lastRenderedPageBreak/>
        <w:t>informē par iespējamo pieļauto kļūdu labošanu par taksācijas periodiem un nodokļiem, par kuriem netiek veikts kontroles pasākums, un aicina iesniegt precizētas deklarācijas, izmantojot likumā “Par nodokļiem un nodevām” 16.panta 6.punktā noteiktās tiesības iesniegt nodokļu deklarācijas labojumu vai precizējumu triju gadu laikā pēc konkrētajos likumos noteiktā maksāšanas termiņa;</w:t>
      </w:r>
    </w:p>
    <w:p w:rsidR="008F666D" w:rsidRPr="00B970FA" w:rsidRDefault="008F666D" w:rsidP="00100C1A">
      <w:pPr>
        <w:pStyle w:val="ListParagraph"/>
        <w:numPr>
          <w:ilvl w:val="1"/>
          <w:numId w:val="2"/>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 xml:space="preserve">nodokļu maksātājam izskaidro, kā konstatētie pārkāpumi pievienotās vērtības nodokļa aprēķināšanas pārbaudē, apstrīdot darījumus, ietekmē uzņēmumu ienākuma nodokļa aprēķināšanu un nodokļu maksātāju aicina izmantot tiesības precizēt nodokļa aprēķinu vai ņemt vērā auditā konstatēto, aprēķinot uzņēmumu ienākumu nodokli; </w:t>
      </w:r>
    </w:p>
    <w:p w:rsidR="008F666D" w:rsidRPr="00B970FA" w:rsidRDefault="008F666D" w:rsidP="00100C1A">
      <w:pPr>
        <w:pStyle w:val="ListParagraph"/>
        <w:numPr>
          <w:ilvl w:val="1"/>
          <w:numId w:val="2"/>
        </w:numPr>
        <w:tabs>
          <w:tab w:val="left" w:pos="6740"/>
        </w:tabs>
        <w:spacing w:after="0" w:line="240" w:lineRule="auto"/>
        <w:ind w:left="1134" w:hanging="283"/>
        <w:jc w:val="both"/>
        <w:rPr>
          <w:rFonts w:ascii="Times New Roman" w:hAnsi="Times New Roman"/>
          <w:sz w:val="24"/>
          <w:szCs w:val="24"/>
        </w:rPr>
      </w:pPr>
      <w:r w:rsidRPr="00B970FA">
        <w:rPr>
          <w:rFonts w:ascii="Times New Roman" w:hAnsi="Times New Roman"/>
          <w:sz w:val="24"/>
          <w:szCs w:val="24"/>
        </w:rPr>
        <w:t>vērš nodokļu maksātāja uzmanību uz darījumiem ar darījumu partneriem, par kuriem VID rīcībā esošā informācija norāda uz riskiem, kas var ietekmēt valsts budžetā iemaksājamās nodokļu summas un norāda uz VID tiesībām veikt atbilstošus kontroles pasākumus, lai apturētu šādus darījumus.</w:t>
      </w:r>
    </w:p>
    <w:p w:rsidR="008F666D" w:rsidRPr="00B970FA" w:rsidRDefault="008F666D" w:rsidP="00100C1A">
      <w:pPr>
        <w:tabs>
          <w:tab w:val="left" w:pos="6740"/>
        </w:tabs>
        <w:ind w:firstLine="567"/>
        <w:rPr>
          <w:szCs w:val="24"/>
        </w:rPr>
      </w:pPr>
      <w:r w:rsidRPr="00B970FA">
        <w:rPr>
          <w:szCs w:val="24"/>
        </w:rPr>
        <w:t>VID mājaslapā (www.vid.gov.lv → Nodokļi → Noderīgi → Riskanto nodokļu maksātāju grupas → VID vadlīnijas) ir publicēts informatīvais materiāls “Valsts ieņēmumu dienesta ieteikumi darījuma partnera un darījuma riska novērtēšanai”, ko nodokļu maksātājs var izmantot, lai izvērtētu informāciju par sadarbības partneriem, iespējamos riskus un to ietekmi uz nodokļu deklarācijām.</w:t>
      </w:r>
      <w:r>
        <w:rPr>
          <w:szCs w:val="24"/>
        </w:rPr>
        <w:t xml:space="preserve"> </w:t>
      </w:r>
      <w:r w:rsidRPr="00B970FA">
        <w:rPr>
          <w:szCs w:val="24"/>
        </w:rPr>
        <w:t xml:space="preserve">Tādējādi jau šobrīd tiek veikti pasākumi, lai uzlabotu sadarbību ar nodokļu maksātājiem un veicinātu brīvprātīgu nodokļu saistību izpildi, ievērojot “Konsultē vispirms” principu. </w:t>
      </w:r>
    </w:p>
    <w:p w:rsidR="008F666D" w:rsidRDefault="008F666D" w:rsidP="00100C1A">
      <w:pPr>
        <w:tabs>
          <w:tab w:val="left" w:pos="6740"/>
        </w:tabs>
        <w:ind w:firstLine="567"/>
        <w:rPr>
          <w:szCs w:val="24"/>
        </w:rPr>
      </w:pPr>
      <w:r>
        <w:rPr>
          <w:szCs w:val="24"/>
        </w:rPr>
        <w:t xml:space="preserve">2016.gadā apstiprinātajā Valdības rīcības plānā ir iekļauti vairāki ēnu ekonomikas apkarošanas pasākumi, t.sk. nodokļu reforma un cīņa pret nereģistrēto uzņēmējdarbību. Fizisko un juridisko personu saimnieciskās darbības (piemēram, </w:t>
      </w:r>
      <w:r w:rsidRPr="00A047C1">
        <w:rPr>
          <w:szCs w:val="24"/>
        </w:rPr>
        <w:t>nekustamā īpašuma izīrēšana vai iznomāšana</w:t>
      </w:r>
      <w:r>
        <w:rPr>
          <w:szCs w:val="24"/>
        </w:rPr>
        <w:t xml:space="preserve">, izmantojot tiešsaites rezervācijas sistēmas) uzraudzība tiek veikta atbilstoši spēkā esošajiem normatīvajiem aktiem, turklāt jau šobrīd ir iespējams pārbaudīt </w:t>
      </w:r>
      <w:r w:rsidRPr="00A047C1">
        <w:rPr>
          <w:szCs w:val="24"/>
        </w:rPr>
        <w:t>starptautiskā mājokļu iznomāšanas portāla «airbnb</w:t>
      </w:r>
      <w:r>
        <w:rPr>
          <w:szCs w:val="24"/>
        </w:rPr>
        <w:t>.com</w:t>
      </w:r>
      <w:r w:rsidRPr="00A047C1">
        <w:rPr>
          <w:szCs w:val="24"/>
        </w:rPr>
        <w:t>» un viesnīcu rezervēšanas portāla «booking.com»</w:t>
      </w:r>
      <w:r>
        <w:rPr>
          <w:szCs w:val="24"/>
        </w:rPr>
        <w:t xml:space="preserve">  </w:t>
      </w:r>
      <w:r w:rsidRPr="003813CA">
        <w:rPr>
          <w:szCs w:val="24"/>
        </w:rPr>
        <w:t>piedāvājumus</w:t>
      </w:r>
      <w:r>
        <w:rPr>
          <w:szCs w:val="24"/>
        </w:rPr>
        <w:t xml:space="preserve"> un salīdzināt datus ar zemesgrāmatas ierakstiem, kā rezultātā atklājot nereģistrēto saimniecisko darbību. Papildus vēršam uzmanību, ka </w:t>
      </w:r>
      <w:r w:rsidRPr="002F0B04">
        <w:rPr>
          <w:szCs w:val="24"/>
        </w:rPr>
        <w:t>VID 2017.gada sākumā ir izveidota atsevišķa struktūrvienība, kas strādā ar nodokļu maksātājiem, kuri, iespējams, veic nereģistrētu saimniecisko darbību, veicot informācijas pārbaudi un analīzi</w:t>
      </w:r>
      <w:r>
        <w:rPr>
          <w:szCs w:val="24"/>
        </w:rPr>
        <w:t xml:space="preserve"> </w:t>
      </w:r>
      <w:r w:rsidRPr="002F0B04">
        <w:rPr>
          <w:szCs w:val="24"/>
        </w:rPr>
        <w:t>arī Latvijas lauku tūrisma asociācijas “Lauku ceļotājs” 2017.gada 14.decembra vēstulē norādītajos portālos Booking.com, Airbnb.com., u.c.</w:t>
      </w:r>
    </w:p>
    <w:p w:rsidR="008F666D" w:rsidRDefault="008F666D" w:rsidP="00100C1A">
      <w:pPr>
        <w:tabs>
          <w:tab w:val="left" w:pos="6740"/>
        </w:tabs>
        <w:ind w:firstLine="567"/>
        <w:rPr>
          <w:szCs w:val="24"/>
        </w:rPr>
      </w:pPr>
      <w:r>
        <w:rPr>
          <w:szCs w:val="24"/>
        </w:rPr>
        <w:t>Vienlaikus skaidrojam, ka i</w:t>
      </w:r>
      <w:r w:rsidRPr="00A047C1">
        <w:rPr>
          <w:szCs w:val="24"/>
        </w:rPr>
        <w:t xml:space="preserve">nformācijas iegūšana </w:t>
      </w:r>
      <w:r>
        <w:rPr>
          <w:szCs w:val="24"/>
        </w:rPr>
        <w:t xml:space="preserve">par klientiem </w:t>
      </w:r>
      <w:r w:rsidRPr="00A047C1">
        <w:rPr>
          <w:szCs w:val="24"/>
        </w:rPr>
        <w:t xml:space="preserve">no </w:t>
      </w:r>
      <w:r>
        <w:rPr>
          <w:szCs w:val="24"/>
        </w:rPr>
        <w:t xml:space="preserve">minētiem portāliem prasa lielus resursus un nepieciešama cieša sadarbība ar citu valstu institūcijām, taču informējam, ka minētā problēma ir apzināta, atrodas kompetentās iestādes redzeslokā un tās risināšana ir procesā.  </w:t>
      </w:r>
    </w:p>
    <w:p w:rsidR="008F666D" w:rsidRDefault="008F666D" w:rsidP="00100C1A">
      <w:pPr>
        <w:tabs>
          <w:tab w:val="left" w:pos="6740"/>
        </w:tabs>
        <w:ind w:firstLine="567"/>
        <w:rPr>
          <w:szCs w:val="24"/>
        </w:rPr>
      </w:pPr>
      <w:r>
        <w:rPr>
          <w:szCs w:val="24"/>
        </w:rPr>
        <w:t xml:space="preserve">Tāpat atgādinām, ka iedzīvotājiem tiek piedāvātas vairākas iespējas, kādā veidā ziņot par nereģistrēto saimniecisko darbību, informēt </w:t>
      </w:r>
      <w:r w:rsidRPr="0055732C">
        <w:rPr>
          <w:szCs w:val="24"/>
        </w:rPr>
        <w:t>p</w:t>
      </w:r>
      <w:r>
        <w:rPr>
          <w:szCs w:val="24"/>
        </w:rPr>
        <w:t xml:space="preserve">ar iespējamo izvairīšanos no nodokļu nomaksas. Piemēram, </w:t>
      </w:r>
      <w:r w:rsidRPr="002F0B04">
        <w:rPr>
          <w:szCs w:val="24"/>
        </w:rPr>
        <w:t>par gadījumiem, kad ir zināmi konkrēti uzņēmumi, fiziskās personas, kas veic saimniecisko darbību, oficiāli to  nereģistrējot, VID par tādiem gadījumiem var informēt, izmantojot VID mājas lapā esošo kontaktformu “Sazinies ar mums”, izvēloties tēmu “Ziņojums par pārkāpumu” (https://www.vid.gov.lv/lv/sazinies-ar-mums), vai sūtot informāciju uz elektronisko pasta adresi parkapumi@vid.gov.lv.</w:t>
      </w:r>
    </w:p>
    <w:p w:rsidR="008F666D" w:rsidRDefault="008F666D" w:rsidP="00100C1A">
      <w:pPr>
        <w:ind w:firstLine="567"/>
        <w:rPr>
          <w:szCs w:val="24"/>
        </w:rPr>
      </w:pPr>
      <w:r w:rsidRPr="00E83F23">
        <w:rPr>
          <w:szCs w:val="24"/>
        </w:rPr>
        <w:t xml:space="preserve">Attiecībā uz Jūsu vēstulē minēto </w:t>
      </w:r>
      <w:r>
        <w:rPr>
          <w:szCs w:val="24"/>
        </w:rPr>
        <w:t xml:space="preserve">Valsts ieņēmumu dienesta (turpmāk – </w:t>
      </w:r>
      <w:r w:rsidRPr="00E83F23">
        <w:rPr>
          <w:szCs w:val="24"/>
        </w:rPr>
        <w:t>VID</w:t>
      </w:r>
      <w:r>
        <w:rPr>
          <w:szCs w:val="24"/>
        </w:rPr>
        <w:t>)</w:t>
      </w:r>
      <w:r w:rsidRPr="00E83F23">
        <w:rPr>
          <w:szCs w:val="24"/>
        </w:rPr>
        <w:t xml:space="preserve"> pieaugušo birokrātisko slogu jāatzīmē, ka nolūkā nodrošināt nodokļu maksātāju vienkāršotu un atvieglotu normatīvajos aktos paredzētu saistību kārtošanu (ikmēneša atskaišu iesniegšanu u.c. dokumentu) kārtošanu, k</w:t>
      </w:r>
      <w:r>
        <w:rPr>
          <w:szCs w:val="24"/>
        </w:rPr>
        <w:t>ā arī lai paātrinātu savstarpējo</w:t>
      </w:r>
      <w:r w:rsidRPr="00E83F23">
        <w:rPr>
          <w:szCs w:val="24"/>
        </w:rPr>
        <w:t xml:space="preserve"> saziņu starp VID un nodokļu maksātāju, tika izveidota Elektroniskās deklarēšanas sistēma (EDS), kas sniedz iespēju nodokļu maksātājam ietaupīt laiku un attālināti risināt ar nodokļu maksātāja finansiāli-saimniecisko darbību saistītu</w:t>
      </w:r>
      <w:r>
        <w:rPr>
          <w:szCs w:val="24"/>
        </w:rPr>
        <w:t>s</w:t>
      </w:r>
      <w:r w:rsidRPr="00E83F23">
        <w:rPr>
          <w:szCs w:val="24"/>
        </w:rPr>
        <w:t xml:space="preserve"> jautājumu</w:t>
      </w:r>
      <w:r>
        <w:rPr>
          <w:szCs w:val="24"/>
        </w:rPr>
        <w:t>s.</w:t>
      </w:r>
      <w:r w:rsidRPr="00E83F23">
        <w:rPr>
          <w:szCs w:val="24"/>
        </w:rPr>
        <w:t xml:space="preserve"> </w:t>
      </w:r>
      <w:r>
        <w:rPr>
          <w:szCs w:val="24"/>
        </w:rPr>
        <w:t xml:space="preserve">Tāpat iestādes nodrošina konsultācijas klātienē un tiek publicēti dažādi informatīvie un normatīvos aktus skaidrojošie materiāli, papildus vēršam uzmanību, ka iestāžu konsultāciju </w:t>
      </w:r>
      <w:r>
        <w:rPr>
          <w:szCs w:val="24"/>
        </w:rPr>
        <w:lastRenderedPageBreak/>
        <w:t xml:space="preserve">telefonus var izmantot ne tikai informācijas iegūšanai, bet arī viedokļa sniegšanai, piemērām, par problēmām konkrētās nozares privātajā sektorā. </w:t>
      </w:r>
    </w:p>
    <w:p w:rsidR="008F666D" w:rsidRDefault="008F666D" w:rsidP="00100C1A">
      <w:pPr>
        <w:ind w:firstLine="567"/>
        <w:rPr>
          <w:szCs w:val="24"/>
        </w:rPr>
      </w:pPr>
      <w:r>
        <w:rPr>
          <w:szCs w:val="24"/>
        </w:rPr>
        <w:t xml:space="preserve"> Attiecībā par Jūsu priekšlikumu virzīt jautājumu par dzīvesveida uzņēmuma koncepciju, informējam, ka Ekonomikas ministrija 2016.gada 29.septembra rīkojumā Nr.566 “Konceptuālais ziņojums p</w:t>
      </w:r>
      <w:r w:rsidRPr="002E670F">
        <w:rPr>
          <w:szCs w:val="24"/>
        </w:rPr>
        <w:t>ar uzņēmējdarbības uzsākšanas un mazās uzņēmējdarbības ekosistēmu un turpmāk nepieciešamajiem atbalsta stimuliem</w:t>
      </w:r>
      <w:r>
        <w:rPr>
          <w:szCs w:val="24"/>
        </w:rPr>
        <w:t xml:space="preserve">” ir identificējusi problēmas un piedāvājusi risinājumus uzņēmumiem ar mazu ikgadējo apgrozījumu (ieņēmumiem). </w:t>
      </w:r>
    </w:p>
    <w:p w:rsidR="008F666D" w:rsidRDefault="008F666D" w:rsidP="00100C1A">
      <w:pPr>
        <w:ind w:firstLine="567"/>
        <w:rPr>
          <w:szCs w:val="24"/>
          <w:lang w:eastAsia="lv-LV"/>
        </w:rPr>
      </w:pPr>
      <w:r>
        <w:rPr>
          <w:szCs w:val="24"/>
        </w:rPr>
        <w:t>Papildus vēršam uzmanību</w:t>
      </w:r>
      <w:r>
        <w:rPr>
          <w:szCs w:val="24"/>
          <w:lang w:eastAsia="lv-LV"/>
        </w:rPr>
        <w:t>, ka attiecībā uz mazajiem uzņēmējiem Valsts nodokļu politikas pamatnostādņu 2018.-2021.gadam ievaros tika izstrādāti grozījumi Mikrouzņēmumu nodokļa likumā, likumā “Par iedzīvotāju ienākuma nodokli” un izstrādāts Ministru kabineta noteikumu projekts “</w:t>
      </w:r>
      <w:r w:rsidRPr="00F31F0B">
        <w:rPr>
          <w:szCs w:val="24"/>
          <w:lang w:eastAsia="lv-LV"/>
        </w:rPr>
        <w:t>Kārtība, kādā piemērojama patentmaksa un tās apmēri fiziskās personas saimnieciskajai darbībai noteikt</w:t>
      </w:r>
      <w:r>
        <w:rPr>
          <w:szCs w:val="24"/>
          <w:lang w:eastAsia="lv-LV"/>
        </w:rPr>
        <w:t>ā profesijā”, kas paredz uzlabot patentmaksas noteikumus mazajiem jeb dzīvesstila uzņēmējiem.</w:t>
      </w:r>
      <w:r w:rsidRPr="0035102D">
        <w:rPr>
          <w:szCs w:val="24"/>
          <w:lang w:eastAsia="lv-LV"/>
        </w:rPr>
        <w:t xml:space="preserve"> </w:t>
      </w:r>
      <w:r>
        <w:rPr>
          <w:szCs w:val="24"/>
          <w:lang w:eastAsia="lv-LV"/>
        </w:rPr>
        <w:t xml:space="preserve">Tādējādi attiecībā uz mazajiem uzņēmējiem jauni normatīvo aktu grozījumi nav plānoti. Sniedzot atbalstu mazajiem uzņēmumiem, būtiski ir nodrošināt godīgu konkurenci, saprotot, ka nodokļu politikai jānodrošina vienlīdzīga attieksme pret dažādām nozarēm un investīciju iespējām, lai veicinātu tirgus dalībnieku efektīvāko ieguldījumu izvēli un izaugsmi. </w:t>
      </w:r>
    </w:p>
    <w:p w:rsidR="008F666D" w:rsidRDefault="008F666D" w:rsidP="00100C1A">
      <w:pPr>
        <w:ind w:firstLine="567"/>
        <w:rPr>
          <w:szCs w:val="24"/>
        </w:rPr>
      </w:pPr>
      <w:r>
        <w:rPr>
          <w:szCs w:val="24"/>
        </w:rPr>
        <w:t xml:space="preserve"> </w:t>
      </w:r>
    </w:p>
    <w:p w:rsidR="008F666D" w:rsidRDefault="008F666D" w:rsidP="007F3771">
      <w:pPr>
        <w:rPr>
          <w:szCs w:val="24"/>
        </w:rPr>
      </w:pPr>
    </w:p>
    <w:p w:rsidR="008F666D" w:rsidRDefault="008F666D" w:rsidP="00100C1A">
      <w:pPr>
        <w:tabs>
          <w:tab w:val="left" w:pos="6740"/>
        </w:tabs>
        <w:ind w:firstLine="567"/>
        <w:rPr>
          <w:szCs w:val="24"/>
        </w:rPr>
      </w:pPr>
      <w:r>
        <w:rPr>
          <w:szCs w:val="24"/>
        </w:rPr>
        <w:t>Ar cieņu</w:t>
      </w:r>
    </w:p>
    <w:p w:rsidR="008F666D" w:rsidRDefault="008F666D" w:rsidP="00100C1A">
      <w:pPr>
        <w:tabs>
          <w:tab w:val="left" w:pos="6740"/>
        </w:tabs>
        <w:ind w:firstLine="567"/>
        <w:rPr>
          <w:szCs w:val="24"/>
        </w:rPr>
      </w:pPr>
    </w:p>
    <w:tbl>
      <w:tblPr>
        <w:tblW w:w="9356" w:type="dxa"/>
        <w:tblLook w:val="00A0"/>
      </w:tblPr>
      <w:tblGrid>
        <w:gridCol w:w="4395"/>
        <w:gridCol w:w="1984"/>
        <w:gridCol w:w="2977"/>
      </w:tblGrid>
      <w:tr w:rsidR="008F666D" w:rsidRPr="00400BF1" w:rsidTr="00043FDD">
        <w:tc>
          <w:tcPr>
            <w:tcW w:w="4395" w:type="dxa"/>
          </w:tcPr>
          <w:p w:rsidR="008F666D" w:rsidRPr="00043FDD" w:rsidRDefault="008F666D" w:rsidP="00C137A1">
            <w:pPr>
              <w:rPr>
                <w:szCs w:val="24"/>
              </w:rPr>
            </w:pPr>
            <w:r w:rsidRPr="00043FDD">
              <w:rPr>
                <w:szCs w:val="24"/>
              </w:rPr>
              <w:t xml:space="preserve">Valsts sekretāres vietā – </w:t>
            </w:r>
          </w:p>
          <w:p w:rsidR="008F666D" w:rsidRPr="00043FDD" w:rsidRDefault="008F666D" w:rsidP="00C137A1">
            <w:pPr>
              <w:rPr>
                <w:szCs w:val="24"/>
              </w:rPr>
            </w:pPr>
            <w:r w:rsidRPr="00043FDD">
              <w:rPr>
                <w:szCs w:val="24"/>
              </w:rPr>
              <w:t xml:space="preserve">Administrācijas vadītāja </w:t>
            </w:r>
          </w:p>
          <w:p w:rsidR="008F666D" w:rsidRPr="00043FDD" w:rsidRDefault="008F666D" w:rsidP="00C137A1">
            <w:pPr>
              <w:rPr>
                <w:szCs w:val="24"/>
              </w:rPr>
            </w:pPr>
          </w:p>
        </w:tc>
        <w:tc>
          <w:tcPr>
            <w:tcW w:w="1984" w:type="dxa"/>
          </w:tcPr>
          <w:p w:rsidR="008F666D" w:rsidRPr="00043FDD" w:rsidRDefault="008F666D" w:rsidP="00043FDD">
            <w:pPr>
              <w:jc w:val="center"/>
              <w:rPr>
                <w:szCs w:val="24"/>
              </w:rPr>
            </w:pPr>
            <w:r w:rsidRPr="00043FDD">
              <w:rPr>
                <w:szCs w:val="24"/>
              </w:rPr>
              <w:t>(paraksts*)</w:t>
            </w:r>
          </w:p>
        </w:tc>
        <w:tc>
          <w:tcPr>
            <w:tcW w:w="2977" w:type="dxa"/>
          </w:tcPr>
          <w:p w:rsidR="008F666D" w:rsidRPr="00043FDD" w:rsidRDefault="008F666D" w:rsidP="00043FDD">
            <w:pPr>
              <w:jc w:val="center"/>
              <w:rPr>
                <w:szCs w:val="24"/>
              </w:rPr>
            </w:pPr>
            <w:r w:rsidRPr="00043FDD">
              <w:rPr>
                <w:szCs w:val="24"/>
              </w:rPr>
              <w:t>I.Braunfelde</w:t>
            </w:r>
          </w:p>
        </w:tc>
      </w:tr>
    </w:tbl>
    <w:p w:rsidR="008F666D" w:rsidRPr="00615936" w:rsidRDefault="008F666D" w:rsidP="007F3771">
      <w:pPr>
        <w:rPr>
          <w:szCs w:val="24"/>
        </w:rPr>
      </w:pPr>
    </w:p>
    <w:tbl>
      <w:tblPr>
        <w:tblW w:w="8647" w:type="dxa"/>
        <w:tblLook w:val="00A0"/>
      </w:tblPr>
      <w:tblGrid>
        <w:gridCol w:w="8647"/>
      </w:tblGrid>
      <w:tr w:rsidR="008F666D" w:rsidTr="00AA6DC1">
        <w:trPr>
          <w:cantSplit/>
          <w:trHeight w:val="615"/>
        </w:trPr>
        <w:tc>
          <w:tcPr>
            <w:tcW w:w="8647" w:type="dxa"/>
          </w:tcPr>
          <w:p w:rsidR="008F666D" w:rsidRPr="00AA6DC1" w:rsidRDefault="008F666D" w:rsidP="00AA6DC1">
            <w:pPr>
              <w:pStyle w:val="BodyTextIndent"/>
              <w:tabs>
                <w:tab w:val="left" w:pos="8397"/>
              </w:tabs>
              <w:ind w:left="0"/>
              <w:rPr>
                <w:sz w:val="24"/>
                <w:szCs w:val="24"/>
              </w:rPr>
            </w:pPr>
            <w:bookmarkStart w:id="7" w:name="edoc_info" w:colFirst="0" w:colLast="0"/>
            <w:r w:rsidRPr="00AA6DC1">
              <w:rPr>
                <w:sz w:val="24"/>
                <w:szCs w:val="24"/>
              </w:rPr>
              <w:t>*Dokuments ir parakstīts ar drošu elektronisko parakstu</w:t>
            </w:r>
          </w:p>
        </w:tc>
      </w:tr>
      <w:bookmarkEnd w:id="7"/>
    </w:tbl>
    <w:p w:rsidR="008F666D" w:rsidRDefault="008F666D" w:rsidP="007F3771">
      <w:pPr>
        <w:rPr>
          <w:sz w:val="20"/>
        </w:rPr>
      </w:pPr>
    </w:p>
    <w:p w:rsidR="008F666D" w:rsidRDefault="008F666D" w:rsidP="00550BA5">
      <w:pPr>
        <w:ind w:firstLine="142"/>
        <w:rPr>
          <w:sz w:val="20"/>
        </w:rPr>
      </w:pPr>
    </w:p>
    <w:p w:rsidR="008F666D" w:rsidRDefault="008F666D" w:rsidP="00550BA5">
      <w:pPr>
        <w:ind w:firstLine="142"/>
        <w:rPr>
          <w:sz w:val="20"/>
        </w:rPr>
      </w:pPr>
      <w:r>
        <w:rPr>
          <w:sz w:val="20"/>
        </w:rPr>
        <w:t xml:space="preserve">Boriseviča 67-095-512 </w:t>
      </w:r>
    </w:p>
    <w:p w:rsidR="008F666D" w:rsidRDefault="008F666D" w:rsidP="00550BA5">
      <w:pPr>
        <w:ind w:firstLine="142"/>
        <w:rPr>
          <w:sz w:val="20"/>
        </w:rPr>
      </w:pPr>
      <w:r>
        <w:rPr>
          <w:sz w:val="20"/>
        </w:rPr>
        <w:t>alesja.borisevica@fm.gov.lv</w:t>
      </w:r>
    </w:p>
    <w:p w:rsidR="008F666D" w:rsidRPr="006D6710" w:rsidRDefault="008F666D" w:rsidP="007F3771">
      <w:pPr>
        <w:rPr>
          <w:sz w:val="20"/>
        </w:rPr>
      </w:pPr>
    </w:p>
    <w:sectPr w:rsidR="008F666D" w:rsidRPr="006D6710" w:rsidSect="002C22B9">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D59" w:rsidRDefault="00AC1D59">
      <w:r>
        <w:separator/>
      </w:r>
    </w:p>
  </w:endnote>
  <w:endnote w:type="continuationSeparator" w:id="0">
    <w:p w:rsidR="00AC1D59" w:rsidRDefault="00AC1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D" w:rsidRDefault="00DF6A1C">
    <w:pPr>
      <w:pStyle w:val="Footer"/>
      <w:jc w:val="center"/>
    </w:pPr>
    <w:r w:rsidRPr="00557B49">
      <w:rPr>
        <w:sz w:val="24"/>
        <w:szCs w:val="24"/>
      </w:rPr>
      <w:fldChar w:fldCharType="begin"/>
    </w:r>
    <w:r w:rsidR="008F666D" w:rsidRPr="00557B49">
      <w:rPr>
        <w:sz w:val="24"/>
        <w:szCs w:val="24"/>
      </w:rPr>
      <w:instrText xml:space="preserve"> PAGE   \* MERGEFORMAT </w:instrText>
    </w:r>
    <w:r w:rsidRPr="00557B49">
      <w:rPr>
        <w:sz w:val="24"/>
        <w:szCs w:val="24"/>
      </w:rPr>
      <w:fldChar w:fldCharType="separate"/>
    </w:r>
    <w:r w:rsidR="00AA5067">
      <w:rPr>
        <w:noProof/>
        <w:sz w:val="24"/>
        <w:szCs w:val="24"/>
      </w:rPr>
      <w:t>3</w:t>
    </w:r>
    <w:r w:rsidRPr="00557B49">
      <w:rPr>
        <w:sz w:val="24"/>
        <w:szCs w:val="24"/>
      </w:rPr>
      <w:fldChar w:fldCharType="end"/>
    </w:r>
  </w:p>
  <w:p w:rsidR="008F666D" w:rsidRDefault="008F6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D" w:rsidRDefault="008F666D">
    <w:pPr>
      <w:pStyle w:val="Footer"/>
      <w:jc w:val="center"/>
    </w:pPr>
  </w:p>
  <w:p w:rsidR="008F666D" w:rsidRDefault="008F6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D59" w:rsidRDefault="00AC1D59">
      <w:r>
        <w:separator/>
      </w:r>
    </w:p>
  </w:footnote>
  <w:footnote w:type="continuationSeparator" w:id="0">
    <w:p w:rsidR="00AC1D59" w:rsidRDefault="00AC1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D" w:rsidRDefault="00DF6A1C">
    <w:pPr>
      <w:pStyle w:val="Header"/>
      <w:framePr w:wrap="around" w:vAnchor="text" w:hAnchor="margin" w:xAlign="center" w:y="1"/>
      <w:rPr>
        <w:rStyle w:val="PageNumber"/>
      </w:rPr>
    </w:pPr>
    <w:r>
      <w:rPr>
        <w:rStyle w:val="PageNumber"/>
      </w:rPr>
      <w:fldChar w:fldCharType="begin"/>
    </w:r>
    <w:r w:rsidR="008F666D">
      <w:rPr>
        <w:rStyle w:val="PageNumber"/>
      </w:rPr>
      <w:instrText xml:space="preserve">PAGE  </w:instrText>
    </w:r>
    <w:r>
      <w:rPr>
        <w:rStyle w:val="PageNumber"/>
      </w:rPr>
      <w:fldChar w:fldCharType="separate"/>
    </w:r>
    <w:r w:rsidR="008F666D">
      <w:rPr>
        <w:rStyle w:val="PageNumber"/>
        <w:noProof/>
      </w:rPr>
      <w:t>2</w:t>
    </w:r>
    <w:r>
      <w:rPr>
        <w:rStyle w:val="PageNumber"/>
      </w:rPr>
      <w:fldChar w:fldCharType="end"/>
    </w:r>
  </w:p>
  <w:p w:rsidR="008F666D" w:rsidRDefault="008F6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D" w:rsidRDefault="008F666D" w:rsidP="008C508E">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D" w:rsidRDefault="008F666D">
    <w:pPr>
      <w:pStyle w:val="Header"/>
    </w:pPr>
  </w:p>
  <w:p w:rsidR="008F666D" w:rsidRDefault="008F666D">
    <w:pPr>
      <w:pStyle w:val="Header"/>
    </w:pPr>
  </w:p>
  <w:p w:rsidR="008F666D" w:rsidRDefault="008F666D">
    <w:pPr>
      <w:pStyle w:val="Header"/>
    </w:pPr>
  </w:p>
  <w:p w:rsidR="008F666D" w:rsidRDefault="00DF6A1C" w:rsidP="002C22B9">
    <w:pPr>
      <w:pStyle w:val="Header"/>
      <w:tabs>
        <w:tab w:val="clear" w:pos="4153"/>
        <w:tab w:val="clear" w:pos="8306"/>
      </w:tabs>
    </w:pPr>
    <w:r>
      <w:rPr>
        <w:noProof/>
        <w:lang w:eastAsia="lv-LV"/>
      </w:rPr>
      <w:pict>
        <v:shapetype id="_x0000_t202" coordsize="21600,21600" o:spt="202" path="m,l,21600r21600,l21600,xe">
          <v:stroke joinstyle="miter"/>
          <v:path gradientshapeok="t" o:connecttype="rect"/>
        </v:shapetype>
        <v:shape id="Text Box 43" o:spid="_x0000_s2049" type="#_x0000_t202" style="position:absolute;left:0;text-align:left;margin-left:84pt;margin-top:159.9pt;width:468pt;height:24.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8F666D" w:rsidRDefault="008F666D"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w: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left:0;text-align:left;margin-left:5.95pt;margin-top:56pt;width:465.7pt;height:83.9pt;z-index:-251657728;visibility:visible;mso-position-horizontal-relative:margin;mso-position-vertical-relative:page">
          <v:imagedata r:id="rId1" o:title="" croptop="900f" cropbottom="-899f" cropleft="819f" cropright="-819f"/>
          <w10:wrap anchorx="margin" anchory="page"/>
        </v:shape>
      </w:pict>
    </w:r>
  </w:p>
  <w:p w:rsidR="008F666D" w:rsidRDefault="008F666D">
    <w:pPr>
      <w:pStyle w:val="Header"/>
    </w:pPr>
  </w:p>
  <w:p w:rsidR="008F666D" w:rsidRDefault="008F666D">
    <w:pPr>
      <w:pStyle w:val="Header"/>
    </w:pPr>
  </w:p>
  <w:p w:rsidR="008F666D" w:rsidRDefault="008F666D">
    <w:pPr>
      <w:pStyle w:val="Header"/>
    </w:pPr>
  </w:p>
  <w:p w:rsidR="008F666D" w:rsidRDefault="008F666D">
    <w:pPr>
      <w:pStyle w:val="Header"/>
    </w:pPr>
  </w:p>
  <w:p w:rsidR="008F666D" w:rsidRDefault="008F666D">
    <w:pPr>
      <w:pStyle w:val="Header"/>
    </w:pPr>
  </w:p>
  <w:p w:rsidR="008F666D" w:rsidRDefault="008F666D">
    <w:pPr>
      <w:pStyle w:val="Header"/>
    </w:pPr>
  </w:p>
  <w:p w:rsidR="008F666D" w:rsidRDefault="00DF6A1C">
    <w:pPr>
      <w:pStyle w:val="Header"/>
    </w:pPr>
    <w:r>
      <w:rPr>
        <w:noProof/>
        <w:lang w:eastAsia="lv-LV"/>
      </w:rPr>
      <w:pict>
        <v:group id="Group 41" o:spid="_x0000_s2051" style="position:absolute;left:0;text-align:left;margin-left:-2.7pt;margin-top:149.85pt;width:467.5pt;height:3.55pt;z-index:-25165977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2052"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w:r>
  </w:p>
  <w:p w:rsidR="008F666D" w:rsidRDefault="008F666D">
    <w:pPr>
      <w:pStyle w:val="Header"/>
    </w:pPr>
  </w:p>
  <w:p w:rsidR="008F666D" w:rsidRDefault="008F666D">
    <w:pPr>
      <w:pStyle w:val="Header"/>
    </w:pPr>
  </w:p>
  <w:p w:rsidR="008F666D" w:rsidRDefault="008F66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04935"/>
    <w:multiLevelType w:val="hybridMultilevel"/>
    <w:tmpl w:val="86F6F06A"/>
    <w:lvl w:ilvl="0" w:tplc="04260011">
      <w:start w:val="1"/>
      <w:numFmt w:val="decimal"/>
      <w:lvlText w:val="%1)"/>
      <w:lvlJc w:val="left"/>
      <w:pPr>
        <w:ind w:left="927" w:hanging="360"/>
      </w:pPr>
      <w:rPr>
        <w:rFonts w:cs="Times New Roman" w:hint="default"/>
      </w:rPr>
    </w:lvl>
    <w:lvl w:ilvl="1" w:tplc="AF9EB314">
      <w:start w:val="1"/>
      <w:numFmt w:val="decimal"/>
      <w:lvlText w:val="%2."/>
      <w:lvlJc w:val="left"/>
      <w:pPr>
        <w:ind w:left="1647" w:hanging="360"/>
      </w:pPr>
      <w:rPr>
        <w:rFonts w:cs="Times New Roman" w:hint="default"/>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1">
    <w:nsid w:val="66410757"/>
    <w:multiLevelType w:val="hybridMultilevel"/>
    <w:tmpl w:val="6298FD60"/>
    <w:lvl w:ilvl="0" w:tplc="C98C8AC6">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67BF4E25"/>
    <w:multiLevelType w:val="hybridMultilevel"/>
    <w:tmpl w:val="538A4768"/>
    <w:lvl w:ilvl="0" w:tplc="CC2AEE4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E51"/>
    <w:rsid w:val="0002005E"/>
    <w:rsid w:val="000215B9"/>
    <w:rsid w:val="00025906"/>
    <w:rsid w:val="00043FDD"/>
    <w:rsid w:val="00051BDB"/>
    <w:rsid w:val="00054277"/>
    <w:rsid w:val="00062D32"/>
    <w:rsid w:val="00063804"/>
    <w:rsid w:val="000704C8"/>
    <w:rsid w:val="00072A98"/>
    <w:rsid w:val="0008360A"/>
    <w:rsid w:val="000859B0"/>
    <w:rsid w:val="00086189"/>
    <w:rsid w:val="00087E31"/>
    <w:rsid w:val="000A0A49"/>
    <w:rsid w:val="000A2273"/>
    <w:rsid w:val="000A4A49"/>
    <w:rsid w:val="000B5E98"/>
    <w:rsid w:val="000B75CE"/>
    <w:rsid w:val="000C0DD4"/>
    <w:rsid w:val="000C1481"/>
    <w:rsid w:val="000E05A4"/>
    <w:rsid w:val="000E7902"/>
    <w:rsid w:val="00100C1A"/>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A2830"/>
    <w:rsid w:val="001D78A7"/>
    <w:rsid w:val="001F53D9"/>
    <w:rsid w:val="00203705"/>
    <w:rsid w:val="0021300E"/>
    <w:rsid w:val="00220CEE"/>
    <w:rsid w:val="00224396"/>
    <w:rsid w:val="00227D91"/>
    <w:rsid w:val="0023013F"/>
    <w:rsid w:val="00235349"/>
    <w:rsid w:val="00243A12"/>
    <w:rsid w:val="00244390"/>
    <w:rsid w:val="00260557"/>
    <w:rsid w:val="00261352"/>
    <w:rsid w:val="002644F0"/>
    <w:rsid w:val="00266CF2"/>
    <w:rsid w:val="00267E3D"/>
    <w:rsid w:val="00292E11"/>
    <w:rsid w:val="0029448D"/>
    <w:rsid w:val="00297AF4"/>
    <w:rsid w:val="002A20A3"/>
    <w:rsid w:val="002B2B9A"/>
    <w:rsid w:val="002C22B9"/>
    <w:rsid w:val="002D0DAE"/>
    <w:rsid w:val="002D2EFD"/>
    <w:rsid w:val="002D6CB4"/>
    <w:rsid w:val="002E06CD"/>
    <w:rsid w:val="002E288C"/>
    <w:rsid w:val="002E670F"/>
    <w:rsid w:val="002F0B04"/>
    <w:rsid w:val="002F5D59"/>
    <w:rsid w:val="003026CE"/>
    <w:rsid w:val="00302D28"/>
    <w:rsid w:val="00304112"/>
    <w:rsid w:val="003043C9"/>
    <w:rsid w:val="00311FF4"/>
    <w:rsid w:val="00314B6D"/>
    <w:rsid w:val="0031519D"/>
    <w:rsid w:val="00325CE2"/>
    <w:rsid w:val="00330C2A"/>
    <w:rsid w:val="00332AF9"/>
    <w:rsid w:val="00341839"/>
    <w:rsid w:val="0035102D"/>
    <w:rsid w:val="0037045B"/>
    <w:rsid w:val="00372720"/>
    <w:rsid w:val="00374C0D"/>
    <w:rsid w:val="00375457"/>
    <w:rsid w:val="00380855"/>
    <w:rsid w:val="003813CA"/>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0BF1"/>
    <w:rsid w:val="004059A7"/>
    <w:rsid w:val="004218E7"/>
    <w:rsid w:val="00424156"/>
    <w:rsid w:val="004241B4"/>
    <w:rsid w:val="00434A02"/>
    <w:rsid w:val="0043643E"/>
    <w:rsid w:val="004478B9"/>
    <w:rsid w:val="00474D18"/>
    <w:rsid w:val="00483407"/>
    <w:rsid w:val="004E07DD"/>
    <w:rsid w:val="004E2880"/>
    <w:rsid w:val="004E45F2"/>
    <w:rsid w:val="004E4C3B"/>
    <w:rsid w:val="004F221F"/>
    <w:rsid w:val="004F32A1"/>
    <w:rsid w:val="004F671B"/>
    <w:rsid w:val="004F7DFD"/>
    <w:rsid w:val="005053F3"/>
    <w:rsid w:val="00506D88"/>
    <w:rsid w:val="00513B65"/>
    <w:rsid w:val="00526E86"/>
    <w:rsid w:val="0053353D"/>
    <w:rsid w:val="00546FDE"/>
    <w:rsid w:val="00550841"/>
    <w:rsid w:val="00550BA5"/>
    <w:rsid w:val="0055732C"/>
    <w:rsid w:val="00557B49"/>
    <w:rsid w:val="0056044A"/>
    <w:rsid w:val="00566B07"/>
    <w:rsid w:val="005732DA"/>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C07D9"/>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6776F"/>
    <w:rsid w:val="00776A11"/>
    <w:rsid w:val="00786DAF"/>
    <w:rsid w:val="00792DE6"/>
    <w:rsid w:val="00793B50"/>
    <w:rsid w:val="007A5BA9"/>
    <w:rsid w:val="007A73EC"/>
    <w:rsid w:val="007B2927"/>
    <w:rsid w:val="007B32A0"/>
    <w:rsid w:val="007C5B7E"/>
    <w:rsid w:val="007D3DB0"/>
    <w:rsid w:val="007D7E8B"/>
    <w:rsid w:val="007E021E"/>
    <w:rsid w:val="007E7EA0"/>
    <w:rsid w:val="007F3771"/>
    <w:rsid w:val="007F6888"/>
    <w:rsid w:val="00812E64"/>
    <w:rsid w:val="008163E9"/>
    <w:rsid w:val="008237C6"/>
    <w:rsid w:val="00826D51"/>
    <w:rsid w:val="00835ED1"/>
    <w:rsid w:val="008360BD"/>
    <w:rsid w:val="00837277"/>
    <w:rsid w:val="008452D5"/>
    <w:rsid w:val="00850ECB"/>
    <w:rsid w:val="00863F50"/>
    <w:rsid w:val="0086567E"/>
    <w:rsid w:val="00866595"/>
    <w:rsid w:val="00875EF1"/>
    <w:rsid w:val="00884446"/>
    <w:rsid w:val="00886C8A"/>
    <w:rsid w:val="008A5EC1"/>
    <w:rsid w:val="008B52CF"/>
    <w:rsid w:val="008C0C78"/>
    <w:rsid w:val="008C508E"/>
    <w:rsid w:val="008C65E9"/>
    <w:rsid w:val="008D22AE"/>
    <w:rsid w:val="008E4EA4"/>
    <w:rsid w:val="008E4FE5"/>
    <w:rsid w:val="008F1369"/>
    <w:rsid w:val="008F15DF"/>
    <w:rsid w:val="008F2376"/>
    <w:rsid w:val="008F666D"/>
    <w:rsid w:val="00903B9C"/>
    <w:rsid w:val="00911470"/>
    <w:rsid w:val="00914649"/>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047C1"/>
    <w:rsid w:val="00A17946"/>
    <w:rsid w:val="00A21D44"/>
    <w:rsid w:val="00A30AED"/>
    <w:rsid w:val="00A318B0"/>
    <w:rsid w:val="00A37359"/>
    <w:rsid w:val="00A4004D"/>
    <w:rsid w:val="00A41446"/>
    <w:rsid w:val="00A54546"/>
    <w:rsid w:val="00A87DFA"/>
    <w:rsid w:val="00A94030"/>
    <w:rsid w:val="00AA21A4"/>
    <w:rsid w:val="00AA5067"/>
    <w:rsid w:val="00AA6DC1"/>
    <w:rsid w:val="00AA74E7"/>
    <w:rsid w:val="00AB2288"/>
    <w:rsid w:val="00AB278E"/>
    <w:rsid w:val="00AC1D59"/>
    <w:rsid w:val="00AC60C1"/>
    <w:rsid w:val="00AD576B"/>
    <w:rsid w:val="00AE2200"/>
    <w:rsid w:val="00AF21C7"/>
    <w:rsid w:val="00B26E48"/>
    <w:rsid w:val="00B30E51"/>
    <w:rsid w:val="00B45C16"/>
    <w:rsid w:val="00B65C27"/>
    <w:rsid w:val="00B9570C"/>
    <w:rsid w:val="00B970FA"/>
    <w:rsid w:val="00BB4400"/>
    <w:rsid w:val="00BC4B97"/>
    <w:rsid w:val="00BD24E4"/>
    <w:rsid w:val="00BE3E7A"/>
    <w:rsid w:val="00BE5011"/>
    <w:rsid w:val="00BE78C7"/>
    <w:rsid w:val="00BF11EB"/>
    <w:rsid w:val="00BF233C"/>
    <w:rsid w:val="00C038B7"/>
    <w:rsid w:val="00C041F7"/>
    <w:rsid w:val="00C04DED"/>
    <w:rsid w:val="00C137A1"/>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6A1C"/>
    <w:rsid w:val="00DF75CE"/>
    <w:rsid w:val="00E04F00"/>
    <w:rsid w:val="00E0527A"/>
    <w:rsid w:val="00E13483"/>
    <w:rsid w:val="00E15F9B"/>
    <w:rsid w:val="00E25982"/>
    <w:rsid w:val="00E3743F"/>
    <w:rsid w:val="00E44ADB"/>
    <w:rsid w:val="00E71316"/>
    <w:rsid w:val="00E73DD3"/>
    <w:rsid w:val="00E83F23"/>
    <w:rsid w:val="00E95294"/>
    <w:rsid w:val="00EA7310"/>
    <w:rsid w:val="00EB1825"/>
    <w:rsid w:val="00EB2C30"/>
    <w:rsid w:val="00EE1908"/>
    <w:rsid w:val="00EF2339"/>
    <w:rsid w:val="00F06A13"/>
    <w:rsid w:val="00F14918"/>
    <w:rsid w:val="00F220D5"/>
    <w:rsid w:val="00F31F0B"/>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EA4"/>
    <w:pPr>
      <w:jc w:val="both"/>
    </w:pPr>
    <w:rPr>
      <w:sz w:val="24"/>
      <w:szCs w:val="20"/>
      <w:lang w:eastAsia="en-US"/>
    </w:rPr>
  </w:style>
  <w:style w:type="paragraph" w:styleId="Heading1">
    <w:name w:val="heading 1"/>
    <w:basedOn w:val="Normal"/>
    <w:next w:val="Normal"/>
    <w:link w:val="Heading1Char"/>
    <w:uiPriority w:val="99"/>
    <w:qFormat/>
    <w:rsid w:val="00903B9C"/>
    <w:pPr>
      <w:keepNext/>
      <w:spacing w:before="240" w:after="60"/>
      <w:outlineLvl w:val="0"/>
    </w:pPr>
    <w:rPr>
      <w:b/>
      <w:kern w:val="28"/>
      <w:sz w:val="28"/>
    </w:rPr>
  </w:style>
  <w:style w:type="paragraph" w:styleId="Heading2">
    <w:name w:val="heading 2"/>
    <w:basedOn w:val="Normal"/>
    <w:next w:val="Normal"/>
    <w:link w:val="Heading2Char"/>
    <w:uiPriority w:val="99"/>
    <w:qFormat/>
    <w:rsid w:val="00903B9C"/>
    <w:pPr>
      <w:keepNext/>
      <w:spacing w:before="240" w:after="60"/>
      <w:outlineLvl w:val="1"/>
    </w:pPr>
    <w:rPr>
      <w:b/>
      <w:sz w:val="26"/>
    </w:rPr>
  </w:style>
  <w:style w:type="paragraph" w:styleId="Heading3">
    <w:name w:val="heading 3"/>
    <w:basedOn w:val="Normal"/>
    <w:next w:val="Normal"/>
    <w:link w:val="Heading3Char"/>
    <w:uiPriority w:val="99"/>
    <w:qFormat/>
    <w:rsid w:val="00903B9C"/>
    <w:pPr>
      <w:keepNext/>
      <w:spacing w:before="240" w:after="60"/>
      <w:outlineLvl w:val="2"/>
    </w:pPr>
    <w:rPr>
      <w:b/>
    </w:rPr>
  </w:style>
  <w:style w:type="paragraph" w:styleId="Heading4">
    <w:name w:val="heading 4"/>
    <w:basedOn w:val="Normal"/>
    <w:next w:val="Normal"/>
    <w:link w:val="Heading4Char"/>
    <w:uiPriority w:val="99"/>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86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E386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E386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E386A"/>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903B9C"/>
    <w:pPr>
      <w:tabs>
        <w:tab w:val="center" w:pos="4153"/>
        <w:tab w:val="right" w:pos="8306"/>
      </w:tabs>
    </w:pPr>
    <w:rPr>
      <w:sz w:val="18"/>
    </w:rPr>
  </w:style>
  <w:style w:type="character" w:customStyle="1" w:styleId="HeaderChar">
    <w:name w:val="Header Char"/>
    <w:basedOn w:val="DefaultParagraphFont"/>
    <w:link w:val="Header"/>
    <w:uiPriority w:val="99"/>
    <w:locked/>
    <w:rsid w:val="00243A12"/>
    <w:rPr>
      <w:rFonts w:cs="Times New Roman"/>
      <w:sz w:val="18"/>
      <w:lang w:eastAsia="en-US"/>
    </w:rPr>
  </w:style>
  <w:style w:type="paragraph" w:styleId="Footer">
    <w:name w:val="footer"/>
    <w:basedOn w:val="Normal"/>
    <w:link w:val="FooterChar"/>
    <w:uiPriority w:val="99"/>
    <w:rsid w:val="00903B9C"/>
    <w:pPr>
      <w:tabs>
        <w:tab w:val="center" w:pos="4153"/>
        <w:tab w:val="right" w:pos="8306"/>
      </w:tabs>
    </w:pPr>
    <w:rPr>
      <w:sz w:val="18"/>
    </w:rPr>
  </w:style>
  <w:style w:type="character" w:customStyle="1" w:styleId="FooterChar">
    <w:name w:val="Footer Char"/>
    <w:basedOn w:val="DefaultParagraphFont"/>
    <w:link w:val="Footer"/>
    <w:uiPriority w:val="99"/>
    <w:locked/>
    <w:rsid w:val="006D6710"/>
    <w:rPr>
      <w:rFonts w:cs="Times New Roman"/>
      <w:sz w:val="18"/>
      <w:lang w:eastAsia="en-US"/>
    </w:rPr>
  </w:style>
  <w:style w:type="character" w:styleId="PageNumber">
    <w:name w:val="page number"/>
    <w:basedOn w:val="DefaultParagraphFont"/>
    <w:uiPriority w:val="99"/>
    <w:rsid w:val="00903B9C"/>
    <w:rPr>
      <w:rFonts w:ascii="Times New Roman" w:hAnsi="Times New Roman" w:cs="Times New Roman"/>
    </w:rPr>
  </w:style>
  <w:style w:type="paragraph" w:styleId="Caption">
    <w:name w:val="caption"/>
    <w:basedOn w:val="Normal"/>
    <w:next w:val="Normal"/>
    <w:uiPriority w:val="99"/>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uiPriority w:val="99"/>
    <w:semiHidden/>
    <w:rsid w:val="00903B9C"/>
    <w:rPr>
      <w:sz w:val="20"/>
    </w:rPr>
  </w:style>
  <w:style w:type="character" w:customStyle="1" w:styleId="FootnoteTextChar">
    <w:name w:val="Footnote Text Char"/>
    <w:basedOn w:val="DefaultParagraphFont"/>
    <w:link w:val="FootnoteText"/>
    <w:uiPriority w:val="99"/>
    <w:semiHidden/>
    <w:locked/>
    <w:rsid w:val="008F15DF"/>
    <w:rPr>
      <w:lang w:eastAsia="en-US"/>
    </w:rPr>
  </w:style>
  <w:style w:type="character" w:styleId="FootnoteReference">
    <w:name w:val="footnote reference"/>
    <w:basedOn w:val="DefaultParagraphFont"/>
    <w:uiPriority w:val="99"/>
    <w:semiHidden/>
    <w:rsid w:val="00903B9C"/>
    <w:rPr>
      <w:rFonts w:ascii="Times New Roman" w:hAnsi="Times New Roman" w:cs="Times New Roman"/>
      <w:vertAlign w:val="superscript"/>
    </w:rPr>
  </w:style>
  <w:style w:type="paragraph" w:styleId="DocumentMap">
    <w:name w:val="Document Map"/>
    <w:basedOn w:val="Normal"/>
    <w:link w:val="DocumentMapChar"/>
    <w:uiPriority w:val="99"/>
    <w:semiHidden/>
    <w:rsid w:val="00903B9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E386A"/>
    <w:rPr>
      <w:sz w:val="0"/>
      <w:szCs w:val="0"/>
      <w:lang w:eastAsia="en-US"/>
    </w:rPr>
  </w:style>
  <w:style w:type="character" w:styleId="Hyperlink">
    <w:name w:val="Hyperlink"/>
    <w:basedOn w:val="DefaultParagraphFont"/>
    <w:uiPriority w:val="99"/>
    <w:rsid w:val="00101EF2"/>
    <w:rPr>
      <w:rFonts w:cs="Times New Roman"/>
      <w:color w:val="0000FF"/>
      <w:u w:val="single"/>
    </w:rPr>
  </w:style>
  <w:style w:type="paragraph" w:styleId="BalloonText">
    <w:name w:val="Balloon Text"/>
    <w:basedOn w:val="Normal"/>
    <w:link w:val="BalloonTextChar"/>
    <w:uiPriority w:val="99"/>
    <w:semiHidden/>
    <w:rsid w:val="00884446"/>
    <w:rPr>
      <w:rFonts w:ascii="Tahoma" w:hAnsi="Tahoma" w:cs="Tahoma"/>
      <w:sz w:val="16"/>
      <w:szCs w:val="16"/>
    </w:rPr>
  </w:style>
  <w:style w:type="character" w:customStyle="1" w:styleId="BalloonTextChar">
    <w:name w:val="Balloon Text Char"/>
    <w:basedOn w:val="DefaultParagraphFont"/>
    <w:link w:val="BalloonText"/>
    <w:uiPriority w:val="99"/>
    <w:semiHidden/>
    <w:rsid w:val="00CE386A"/>
    <w:rPr>
      <w:sz w:val="0"/>
      <w:szCs w:val="0"/>
      <w:lang w:eastAsia="en-US"/>
    </w:rPr>
  </w:style>
  <w:style w:type="paragraph" w:styleId="BodyTextIndent">
    <w:name w:val="Body Text Indent"/>
    <w:basedOn w:val="Normal"/>
    <w:link w:val="BodyTextIndentChar"/>
    <w:uiPriority w:val="99"/>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locked/>
    <w:rsid w:val="002D6CB4"/>
    <w:rPr>
      <w:rFonts w:cs="Times New Roman"/>
      <w:lang w:eastAsia="en-US"/>
    </w:rPr>
  </w:style>
  <w:style w:type="character" w:styleId="PlaceholderText">
    <w:name w:val="Placeholder Text"/>
    <w:basedOn w:val="DefaultParagraphFont"/>
    <w:uiPriority w:val="99"/>
    <w:semiHidden/>
    <w:rsid w:val="00826D51"/>
    <w:rPr>
      <w:rFonts w:cs="Times New Roman"/>
      <w:color w:val="808080"/>
    </w:rPr>
  </w:style>
  <w:style w:type="table" w:styleId="TableGrid">
    <w:name w:val="Table Grid"/>
    <w:basedOn w:val="TableNormal"/>
    <w:uiPriority w:val="99"/>
    <w:rsid w:val="004E4C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00C1A"/>
    <w:pPr>
      <w:widowControl w:val="0"/>
      <w:spacing w:after="200" w:line="276" w:lineRule="auto"/>
      <w:ind w:left="720"/>
      <w:contextualSpacing/>
      <w:jc w:val="left"/>
    </w:pPr>
    <w:rPr>
      <w:rFonts w:ascii="Calibri" w:hAnsi="Calibri"/>
      <w:sz w:val="22"/>
      <w:szCs w:val="22"/>
    </w:rPr>
  </w:style>
  <w:style w:type="table" w:customStyle="1" w:styleId="TableGrid1">
    <w:name w:val="Table Grid1"/>
    <w:uiPriority w:val="99"/>
    <w:rsid w:val="00100C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3331998">
      <w:marLeft w:val="0"/>
      <w:marRight w:val="0"/>
      <w:marTop w:val="0"/>
      <w:marBottom w:val="0"/>
      <w:divBdr>
        <w:top w:val="none" w:sz="0" w:space="0" w:color="auto"/>
        <w:left w:val="none" w:sz="0" w:space="0" w:color="auto"/>
        <w:bottom w:val="none" w:sz="0" w:space="0" w:color="auto"/>
        <w:right w:val="none" w:sz="0" w:space="0" w:color="auto"/>
      </w:divBdr>
    </w:div>
    <w:div w:id="2123331999">
      <w:marLeft w:val="0"/>
      <w:marRight w:val="0"/>
      <w:marTop w:val="0"/>
      <w:marBottom w:val="0"/>
      <w:divBdr>
        <w:top w:val="none" w:sz="0" w:space="0" w:color="auto"/>
        <w:left w:val="none" w:sz="0" w:space="0" w:color="auto"/>
        <w:bottom w:val="none" w:sz="0" w:space="0" w:color="auto"/>
        <w:right w:val="none" w:sz="0" w:space="0" w:color="auto"/>
      </w:divBdr>
    </w:div>
    <w:div w:id="2123332000">
      <w:marLeft w:val="0"/>
      <w:marRight w:val="0"/>
      <w:marTop w:val="0"/>
      <w:marBottom w:val="0"/>
      <w:divBdr>
        <w:top w:val="none" w:sz="0" w:space="0" w:color="auto"/>
        <w:left w:val="none" w:sz="0" w:space="0" w:color="auto"/>
        <w:bottom w:val="none" w:sz="0" w:space="0" w:color="auto"/>
        <w:right w:val="none" w:sz="0" w:space="0" w:color="auto"/>
      </w:divBdr>
    </w:div>
    <w:div w:id="2123332001">
      <w:marLeft w:val="0"/>
      <w:marRight w:val="0"/>
      <w:marTop w:val="0"/>
      <w:marBottom w:val="0"/>
      <w:divBdr>
        <w:top w:val="none" w:sz="0" w:space="0" w:color="auto"/>
        <w:left w:val="none" w:sz="0" w:space="0" w:color="auto"/>
        <w:bottom w:val="none" w:sz="0" w:space="0" w:color="auto"/>
        <w:right w:val="none" w:sz="0" w:space="0" w:color="auto"/>
      </w:divBdr>
    </w:div>
    <w:div w:id="2123332002">
      <w:marLeft w:val="0"/>
      <w:marRight w:val="0"/>
      <w:marTop w:val="0"/>
      <w:marBottom w:val="0"/>
      <w:divBdr>
        <w:top w:val="none" w:sz="0" w:space="0" w:color="auto"/>
        <w:left w:val="none" w:sz="0" w:space="0" w:color="auto"/>
        <w:bottom w:val="none" w:sz="0" w:space="0" w:color="auto"/>
        <w:right w:val="none" w:sz="0" w:space="0" w:color="auto"/>
      </w:divBdr>
    </w:div>
    <w:div w:id="2123332003">
      <w:marLeft w:val="0"/>
      <w:marRight w:val="0"/>
      <w:marTop w:val="0"/>
      <w:marBottom w:val="0"/>
      <w:divBdr>
        <w:top w:val="none" w:sz="0" w:space="0" w:color="auto"/>
        <w:left w:val="none" w:sz="0" w:space="0" w:color="auto"/>
        <w:bottom w:val="none" w:sz="0" w:space="0" w:color="auto"/>
        <w:right w:val="none" w:sz="0" w:space="0" w:color="auto"/>
      </w:divBdr>
    </w:div>
    <w:div w:id="2123332004">
      <w:marLeft w:val="0"/>
      <w:marRight w:val="0"/>
      <w:marTop w:val="0"/>
      <w:marBottom w:val="0"/>
      <w:divBdr>
        <w:top w:val="none" w:sz="0" w:space="0" w:color="auto"/>
        <w:left w:val="none" w:sz="0" w:space="0" w:color="auto"/>
        <w:bottom w:val="none" w:sz="0" w:space="0" w:color="auto"/>
        <w:right w:val="none" w:sz="0" w:space="0" w:color="auto"/>
      </w:divBdr>
    </w:div>
    <w:div w:id="2123332005">
      <w:marLeft w:val="0"/>
      <w:marRight w:val="0"/>
      <w:marTop w:val="0"/>
      <w:marBottom w:val="0"/>
      <w:divBdr>
        <w:top w:val="none" w:sz="0" w:space="0" w:color="auto"/>
        <w:left w:val="none" w:sz="0" w:space="0" w:color="auto"/>
        <w:bottom w:val="none" w:sz="0" w:space="0" w:color="auto"/>
        <w:right w:val="none" w:sz="0" w:space="0" w:color="auto"/>
      </w:divBdr>
    </w:div>
    <w:div w:id="2123332006">
      <w:marLeft w:val="0"/>
      <w:marRight w:val="0"/>
      <w:marTop w:val="0"/>
      <w:marBottom w:val="0"/>
      <w:divBdr>
        <w:top w:val="none" w:sz="0" w:space="0" w:color="auto"/>
        <w:left w:val="none" w:sz="0" w:space="0" w:color="auto"/>
        <w:bottom w:val="none" w:sz="0" w:space="0" w:color="auto"/>
        <w:right w:val="none" w:sz="0" w:space="0" w:color="auto"/>
      </w:divBdr>
    </w:div>
    <w:div w:id="2123332007">
      <w:marLeft w:val="0"/>
      <w:marRight w:val="0"/>
      <w:marTop w:val="0"/>
      <w:marBottom w:val="0"/>
      <w:divBdr>
        <w:top w:val="none" w:sz="0" w:space="0" w:color="auto"/>
        <w:left w:val="none" w:sz="0" w:space="0" w:color="auto"/>
        <w:bottom w:val="none" w:sz="0" w:space="0" w:color="auto"/>
        <w:right w:val="none" w:sz="0" w:space="0" w:color="auto"/>
      </w:divBdr>
    </w:div>
    <w:div w:id="2123332008">
      <w:marLeft w:val="0"/>
      <w:marRight w:val="0"/>
      <w:marTop w:val="0"/>
      <w:marBottom w:val="0"/>
      <w:divBdr>
        <w:top w:val="none" w:sz="0" w:space="0" w:color="auto"/>
        <w:left w:val="none" w:sz="0" w:space="0" w:color="auto"/>
        <w:bottom w:val="none" w:sz="0" w:space="0" w:color="auto"/>
        <w:right w:val="none" w:sz="0" w:space="0" w:color="auto"/>
      </w:divBdr>
    </w:div>
    <w:div w:id="2123332009">
      <w:marLeft w:val="0"/>
      <w:marRight w:val="0"/>
      <w:marTop w:val="0"/>
      <w:marBottom w:val="0"/>
      <w:divBdr>
        <w:top w:val="none" w:sz="0" w:space="0" w:color="auto"/>
        <w:left w:val="none" w:sz="0" w:space="0" w:color="auto"/>
        <w:bottom w:val="none" w:sz="0" w:space="0" w:color="auto"/>
        <w:right w:val="none" w:sz="0" w:space="0" w:color="auto"/>
      </w:divBdr>
    </w:div>
    <w:div w:id="2123332010">
      <w:marLeft w:val="0"/>
      <w:marRight w:val="0"/>
      <w:marTop w:val="0"/>
      <w:marBottom w:val="0"/>
      <w:divBdr>
        <w:top w:val="none" w:sz="0" w:space="0" w:color="auto"/>
        <w:left w:val="none" w:sz="0" w:space="0" w:color="auto"/>
        <w:bottom w:val="none" w:sz="0" w:space="0" w:color="auto"/>
        <w:right w:val="none" w:sz="0" w:space="0" w:color="auto"/>
      </w:divBdr>
    </w:div>
    <w:div w:id="2123332011">
      <w:marLeft w:val="0"/>
      <w:marRight w:val="0"/>
      <w:marTop w:val="0"/>
      <w:marBottom w:val="0"/>
      <w:divBdr>
        <w:top w:val="none" w:sz="0" w:space="0" w:color="auto"/>
        <w:left w:val="none" w:sz="0" w:space="0" w:color="auto"/>
        <w:bottom w:val="none" w:sz="0" w:space="0" w:color="auto"/>
        <w:right w:val="none" w:sz="0" w:space="0" w:color="auto"/>
      </w:divBdr>
    </w:div>
    <w:div w:id="2123332012">
      <w:marLeft w:val="0"/>
      <w:marRight w:val="0"/>
      <w:marTop w:val="0"/>
      <w:marBottom w:val="0"/>
      <w:divBdr>
        <w:top w:val="none" w:sz="0" w:space="0" w:color="auto"/>
        <w:left w:val="none" w:sz="0" w:space="0" w:color="auto"/>
        <w:bottom w:val="none" w:sz="0" w:space="0" w:color="auto"/>
        <w:right w:val="none" w:sz="0" w:space="0" w:color="auto"/>
      </w:divBdr>
    </w:div>
    <w:div w:id="2123332013">
      <w:marLeft w:val="0"/>
      <w:marRight w:val="0"/>
      <w:marTop w:val="0"/>
      <w:marBottom w:val="0"/>
      <w:divBdr>
        <w:top w:val="none" w:sz="0" w:space="0" w:color="auto"/>
        <w:left w:val="none" w:sz="0" w:space="0" w:color="auto"/>
        <w:bottom w:val="none" w:sz="0" w:space="0" w:color="auto"/>
        <w:right w:val="none" w:sz="0" w:space="0" w:color="auto"/>
      </w:divBdr>
    </w:div>
    <w:div w:id="2123332014">
      <w:marLeft w:val="0"/>
      <w:marRight w:val="0"/>
      <w:marTop w:val="0"/>
      <w:marBottom w:val="0"/>
      <w:divBdr>
        <w:top w:val="none" w:sz="0" w:space="0" w:color="auto"/>
        <w:left w:val="none" w:sz="0" w:space="0" w:color="auto"/>
        <w:bottom w:val="none" w:sz="0" w:space="0" w:color="auto"/>
        <w:right w:val="none" w:sz="0" w:space="0" w:color="auto"/>
      </w:divBdr>
    </w:div>
    <w:div w:id="2123332015">
      <w:marLeft w:val="0"/>
      <w:marRight w:val="0"/>
      <w:marTop w:val="0"/>
      <w:marBottom w:val="0"/>
      <w:divBdr>
        <w:top w:val="none" w:sz="0" w:space="0" w:color="auto"/>
        <w:left w:val="none" w:sz="0" w:space="0" w:color="auto"/>
        <w:bottom w:val="none" w:sz="0" w:space="0" w:color="auto"/>
        <w:right w:val="none" w:sz="0" w:space="0" w:color="auto"/>
      </w:divBdr>
    </w:div>
    <w:div w:id="2123332016">
      <w:marLeft w:val="0"/>
      <w:marRight w:val="0"/>
      <w:marTop w:val="0"/>
      <w:marBottom w:val="0"/>
      <w:divBdr>
        <w:top w:val="none" w:sz="0" w:space="0" w:color="auto"/>
        <w:left w:val="none" w:sz="0" w:space="0" w:color="auto"/>
        <w:bottom w:val="none" w:sz="0" w:space="0" w:color="auto"/>
        <w:right w:val="none" w:sz="0" w:space="0" w:color="auto"/>
      </w:divBdr>
    </w:div>
    <w:div w:id="2123332017">
      <w:marLeft w:val="0"/>
      <w:marRight w:val="0"/>
      <w:marTop w:val="0"/>
      <w:marBottom w:val="0"/>
      <w:divBdr>
        <w:top w:val="none" w:sz="0" w:space="0" w:color="auto"/>
        <w:left w:val="none" w:sz="0" w:space="0" w:color="auto"/>
        <w:bottom w:val="none" w:sz="0" w:space="0" w:color="auto"/>
        <w:right w:val="none" w:sz="0" w:space="0" w:color="auto"/>
      </w:divBdr>
    </w:div>
    <w:div w:id="2123332018">
      <w:marLeft w:val="0"/>
      <w:marRight w:val="0"/>
      <w:marTop w:val="0"/>
      <w:marBottom w:val="0"/>
      <w:divBdr>
        <w:top w:val="none" w:sz="0" w:space="0" w:color="auto"/>
        <w:left w:val="none" w:sz="0" w:space="0" w:color="auto"/>
        <w:bottom w:val="none" w:sz="0" w:space="0" w:color="auto"/>
        <w:right w:val="none" w:sz="0" w:space="0" w:color="auto"/>
      </w:divBdr>
    </w:div>
    <w:div w:id="2123332019">
      <w:marLeft w:val="0"/>
      <w:marRight w:val="0"/>
      <w:marTop w:val="0"/>
      <w:marBottom w:val="0"/>
      <w:divBdr>
        <w:top w:val="none" w:sz="0" w:space="0" w:color="auto"/>
        <w:left w:val="none" w:sz="0" w:space="0" w:color="auto"/>
        <w:bottom w:val="none" w:sz="0" w:space="0" w:color="auto"/>
        <w:right w:val="none" w:sz="0" w:space="0" w:color="auto"/>
      </w:divBdr>
    </w:div>
    <w:div w:id="2123332020">
      <w:marLeft w:val="0"/>
      <w:marRight w:val="0"/>
      <w:marTop w:val="0"/>
      <w:marBottom w:val="0"/>
      <w:divBdr>
        <w:top w:val="none" w:sz="0" w:space="0" w:color="auto"/>
        <w:left w:val="none" w:sz="0" w:space="0" w:color="auto"/>
        <w:bottom w:val="none" w:sz="0" w:space="0" w:color="auto"/>
        <w:right w:val="none" w:sz="0" w:space="0" w:color="auto"/>
      </w:divBdr>
    </w:div>
    <w:div w:id="2123332021">
      <w:marLeft w:val="0"/>
      <w:marRight w:val="0"/>
      <w:marTop w:val="0"/>
      <w:marBottom w:val="0"/>
      <w:divBdr>
        <w:top w:val="none" w:sz="0" w:space="0" w:color="auto"/>
        <w:left w:val="none" w:sz="0" w:space="0" w:color="auto"/>
        <w:bottom w:val="none" w:sz="0" w:space="0" w:color="auto"/>
        <w:right w:val="none" w:sz="0" w:space="0" w:color="auto"/>
      </w:divBdr>
    </w:div>
    <w:div w:id="212333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10495</Words>
  <Characters>5983</Characters>
  <Application>Microsoft Office Word</Application>
  <DocSecurity>0</DocSecurity>
  <Lines>49</Lines>
  <Paragraphs>32</Paragraphs>
  <ScaleCrop>false</ScaleCrop>
  <Company>Finanšu ministrija</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Latvijas lauku tūrisma asociācijas "Lauku ce</dc:subject>
  <dc:creator>Boriseviča A.</dc:creator>
  <dc:description>Sagatavots ALS E-aprites vidē.</dc:description>
  <cp:lastModifiedBy>Antra Damberga</cp:lastModifiedBy>
  <cp:revision>2</cp:revision>
  <cp:lastPrinted>2007-06-25T10:49:00Z</cp:lastPrinted>
  <dcterms:created xsi:type="dcterms:W3CDTF">2018-01-19T11:31:00Z</dcterms:created>
  <dcterms:modified xsi:type="dcterms:W3CDTF">2018-01-19T11:31:00Z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